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Osaka</w:t>
      </w:r>
    </w:p>
    <w:bookmarkStart w:id="20" w:name="X02879e0e27d4e50d097adebb90ad8af77914035"/>
    <w:p>
      <w:pPr>
        <w:pStyle w:val="Heading1"/>
      </w:pPr>
      <w:r>
        <w:t xml:space="preserve">The Evolving Role of the Banker in Japan Osaka: Bridging Tradition and Technological Innovation</w:t>
      </w:r>
    </w:p>
    <w:p>
      <w:pPr>
        <w:pStyle w:val="FirstParagraph"/>
      </w:pPr>
      <w:r>
        <w:t xml:space="preserve">This poster presentation explores the dynamic transformation of the banking profession in Japan Osaka, focusing on how bankers are adapting to rapid technological shifts while maintaining traditional values. As one of Japan's key economic hubs, Osaka presents a unique case study for understanding how regional financial centers navigate digital disruption. The research highlights the critical importance for bankers in this region to balance legacy systems with modern fintech solutions.</w:t>
      </w:r>
    </w:p>
    <w:p>
      <w:pPr>
        <w:pStyle w:val="BodyText"/>
      </w:pPr>
      <w:r>
        <w:t xml:space="preserve">The banking sector in Japan Osaka stands at a pivotal juncture. Historically known as the "Nation's Kitchen," Osaka has long been a center of trade and commerce, deeply rooted in traditional business practices. However, the rise of digital finance necessitates a reevaluation of the banker's role. This study examines how bankers in Japan Osaka are responding to these changes, emphasizing the need for continuous education and adaptation.</w:t>
      </w:r>
    </w:p>
    <w:p>
      <w:pPr>
        <w:pStyle w:val="BodyText"/>
      </w:pPr>
      <w:r>
        <w:t xml:space="preserve">Understanding the context is crucial: unlike Tokyo, which often leads in financial policy innovation, Osaka banks operate with a stronger emphasis on community relationships and local SMEs (Small and Medium-sized Enterprises). This distinction shapes how bankers approach technology integration, making their journey particularly relevant for regional economic development strategies.</w:t>
      </w:r>
    </w:p>
    <w:p>
      <w:pPr>
        <w:numPr>
          <w:ilvl w:val="0"/>
          <w:numId w:val="1001"/>
        </w:numPr>
        <w:pStyle w:val="Compact"/>
      </w:pPr>
      <w:r>
        <w:rPr>
          <w:bCs/>
          <w:b/>
        </w:rPr>
        <w:t xml:space="preserve">Digital Literacy Gap:</w:t>
      </w:r>
      <w:r>
        <w:t xml:space="preserve"> </w:t>
      </w:r>
      <w:r>
        <w:t xml:space="preserve">Many senior bankers in Japan Osaka struggle with new digital tools, creating a generational divide that affects service efficiency.</w:t>
      </w:r>
    </w:p>
    <w:p>
      <w:pPr>
        <w:numPr>
          <w:ilvl w:val="0"/>
          <w:numId w:val="1001"/>
        </w:numPr>
        <w:pStyle w:val="Compact"/>
      </w:pPr>
      <w:r>
        <w:rPr>
          <w:bCs/>
          <w:b/>
        </w:rPr>
        <w:t xml:space="preserve">Cybersecurity Risks:</w:t>
      </w:r>
      <w:r>
        <w:t xml:space="preserve"> </w:t>
      </w:r>
      <w:r>
        <w:t xml:space="preserve">As online banking grows, bankers must be vigilant against increasing cyber threats targeting regional financial institutions.</w:t>
      </w:r>
    </w:p>
    <w:p>
      <w:pPr>
        <w:numPr>
          <w:ilvl w:val="0"/>
          <w:numId w:val="1001"/>
        </w:numPr>
        <w:pStyle w:val="Compact"/>
      </w:pPr>
      <w:r>
        <w:rPr>
          <w:bCs/>
          <w:b/>
        </w:rPr>
        <w:t xml:space="preserve">Customer Expectations:</w:t>
      </w:r>
      <w:r>
        <w:t xml:space="preserve"> </w:t>
      </w:r>
      <w:r>
        <w:t xml:space="preserve">Younger clients in Japan Osaka expect seamless digital experiences, challenging traditional face-to-face banking models.</w:t>
      </w:r>
    </w:p>
    <w:p>
      <w:pPr>
        <w:pStyle w:val="FirstParagraph"/>
      </w:pPr>
      <w:r>
        <w:t xml:space="preserve">To remain competitive, bankers in Japan Osaka must adopt a hybrid approach. This involves leveraging AI for routine tasks while focusing human expertise on complex advisory services. Training programs should emphasize both technical skills and emotional intelligence to maintain the high-touch service standards valued in Osaka's business culture.</w:t>
      </w:r>
    </w:p>
    <w:p>
      <w:pPr>
        <w:pStyle w:val="BodyText"/>
      </w:pPr>
      <w:r>
        <w:t xml:space="preserve">Furthermore, collaboration with local fintech startups in Japan Osaka can accelerate innovation. By partnering with agile tech firms, traditional banks can integrate cutting-edge solutions without overhauling their entire infrastructure, ensuring a smoother transition for both staff and customers.</w:t>
      </w:r>
    </w:p>
    <w:p>
      <w:pPr>
        <w:pStyle w:val="BodyText"/>
      </w:pPr>
      <w:r>
        <w:t xml:space="preserve">The future of banking in Japan Osaka depends on the ability of bankers to evolve. While technology offers powerful tools for efficiency and reach, it cannot replace the trust and relationship-building that are central to Japanese business ethics. Therefore, bankers must position themselves as strategic advisors who understand both digital capabilities and local community needs.</w:t>
      </w:r>
    </w:p>
    <w:p>
      <w:pPr>
        <w:pStyle w:val="BodyText"/>
      </w:pPr>
      <w:r>
        <w:t xml:space="preserve">This poster presentation underscores that success in Japan Osaka requires a nuanced approach: honoring tradition while embracing innovation. By doing so, bankers can ensure the continued prosperity of Osaka's financial sector and contribute to the broader economic resilience of Japan.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Banker in Japan Osaka</dc:title>
  <dc:creator/>
  <dc:language>en</dc:language>
  <cp:keywords/>
  <dcterms:created xsi:type="dcterms:W3CDTF">2026-07-29T17:00:39Z</dcterms:created>
  <dcterms:modified xsi:type="dcterms:W3CDTF">2026-07-29T17:00:39Z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