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1" w:name="X9a44da50856d3bc194e95d9781b5da06875f85e"/>
    <w:p>
      <w:pPr>
        <w:pStyle w:val="Heading1"/>
      </w:pPr>
      <w:r>
        <w:t xml:space="preserve">The Strategic Role of the Banker in Kuwait City</w:t>
      </w:r>
    </w:p>
    <w:bookmarkStart w:id="20" w:name="Xf1771c31bbff5f3f46e6c2b88c0b9286d56120f"/>
    <w:p>
      <w:pPr>
        <w:pStyle w:val="Heading2"/>
      </w:pPr>
      <w:r>
        <w:t xml:space="preserve">Navigating Financial Sovereignty, Islamic Ethics, and Digital Transformation in a Modern Metropolis</w:t>
      </w:r>
    </w:p>
    <w:bookmarkEnd w:id="20"/>
    <w:bookmarkEnd w:id="21"/>
    <w:p>
      <w:pPr>
        <w:pStyle w:val="FirstParagraph"/>
      </w:pPr>
      <w:r>
        <w:t xml:space="preserve">Presented by: Research Team on Gulf Economic Development | Date: October 2023 | Venue: Kuwait City Academic Symposium</w:t>
      </w:r>
    </w:p>
    <w:bookmarkStart w:id="22" w:name="introduction-and-context"/>
    <w:p>
      <w:pPr>
        <w:pStyle w:val="Heading3"/>
      </w:pPr>
      <w:r>
        <w:t xml:space="preserve">Introduction and Context</w:t>
      </w:r>
    </w:p>
    <w:p>
      <w:pPr>
        <w:pStyle w:val="FirstParagraph"/>
      </w:pPr>
      <w:r>
        <w:t xml:space="preserve">Kuwait City stands as a pivotal economic hub in the Middle East, characterized by its unique blend of rapid modernization and deep-rooted cultural traditions. At the heart of this dynamic landscape lies the profession of the</w:t>
      </w:r>
      <w:r>
        <w:t xml:space="preserve"> </w:t>
      </w:r>
      <w:r>
        <w:rPr>
          <w:bCs/>
          <w:b/>
        </w:rPr>
        <w:t xml:space="preserve">Banker</w:t>
      </w:r>
      <w:r>
        <w:t xml:space="preserve">. This poster presentation aims to elucidate the multifaceted role of bankers operating within Kuwait City, moving beyond traditional definitions to explore their impact on national sovereignty, ethical finance, and digital innovation. As one of the most influential financial centers in the Gulf Cooperation Council (GCC), Kuwait City demands a re-evaluation of how banking professionals interact with state policy and societal values.</w:t>
      </w:r>
    </w:p>
    <w:bookmarkEnd w:id="22"/>
    <w:bookmarkStart w:id="23" w:name="X10829b4768b8153e34e919a158b7341c7a50fe9"/>
    <w:p>
      <w:pPr>
        <w:pStyle w:val="Heading3"/>
      </w:pPr>
      <w:r>
        <w:t xml:space="preserve">The Banker as a Custodian of Sovereign Wealth</w:t>
      </w:r>
    </w:p>
    <w:p>
      <w:pPr>
        <w:pStyle w:val="FirstParagraph"/>
      </w:pPr>
      <w:r>
        <w:t xml:space="preserve">In Kuwait, the role of the banker extends far beyond commercial transactions. Due to the presence of substantial sovereign wealth funds, particularly the Kuwait Investment Authority (KIA), bankers in Kuwait City often serve as intermediaries between national assets and global markets. This unique dynamic requires a specialized skill set that combines rigorous financial acumen with an acute understanding of geopolitical strategy. The</w:t>
      </w:r>
      <w:r>
        <w:t xml:space="preserve"> </w:t>
      </w:r>
      <w:r>
        <w:rPr>
          <w:bCs/>
          <w:b/>
        </w:rPr>
        <w:t xml:space="preserve">Banker</w:t>
      </w:r>
      <w:r>
        <w:t xml:space="preserve"> </w:t>
      </w:r>
      <w:r>
        <w:t xml:space="preserve">in this context is not merely a service provider but a strategic partner in maintaining the economic stability of the nation. This section highlights how local banking institutions navigate international regulations while protecting national interests, ensuring that capital flows align with Kuwait’s long-term development goals.</w:t>
      </w:r>
    </w:p>
    <w:bookmarkEnd w:id="23"/>
    <w:bookmarkStart w:id="24" w:name="islamic-finance-and-ethical-banking"/>
    <w:p>
      <w:pPr>
        <w:pStyle w:val="Heading3"/>
      </w:pPr>
      <w:r>
        <w:t xml:space="preserve">Islamic Finance and Ethical Banking</w:t>
      </w:r>
    </w:p>
    <w:p>
      <w:pPr>
        <w:pStyle w:val="FirstParagraph"/>
      </w:pPr>
      <w:r>
        <w:t xml:space="preserve">A defining characteristic of the banking sector in Kuwait City is its adherence to Islamic finance principles. The modern</w:t>
      </w:r>
      <w:r>
        <w:t xml:space="preserve"> </w:t>
      </w:r>
      <w:r>
        <w:rPr>
          <w:bCs/>
          <w:b/>
        </w:rPr>
        <w:t xml:space="preserve">Banker</w:t>
      </w:r>
      <w:r>
        <w:t xml:space="preserve"> </w:t>
      </w:r>
      <w:r>
        <w:t xml:space="preserve">must be proficient in Sharia-compliant financial instruments, such as Murabaha (cost-plus financing) and Ijara (leasing). Unlike conventional bankers who may view ethics as an additional compliance layer, Kuwaiti bankers integrate ethical considerations into the core structure of their products. This poster explores how this integration fosters trust among the local population and attracts international investors seeking transparent, values-based financial partnerships. The intersection of faith and finance creates a distinct banking environment in Kuwait City that challenges Western-centric models of economic interaction.</w:t>
      </w:r>
    </w:p>
    <w:bookmarkEnd w:id="24"/>
    <w:bookmarkStart w:id="25" w:name="Xbc1d47106519f80c3edd7c27af21b4cf818660a"/>
    <w:p>
      <w:pPr>
        <w:pStyle w:val="Heading3"/>
      </w:pPr>
      <w:r>
        <w:t xml:space="preserve">Digital Transformation and Fintech Integration</w:t>
      </w:r>
    </w:p>
    <w:p>
      <w:pPr>
        <w:pStyle w:val="FirstParagraph"/>
      </w:pPr>
      <w:r>
        <w:t xml:space="preserve">As Kuwait City races toward becoming a digital economy leader, the role of the</w:t>
      </w:r>
      <w:r>
        <w:t xml:space="preserve"> </w:t>
      </w:r>
      <w:r>
        <w:rPr>
          <w:bCs/>
          <w:b/>
        </w:rPr>
        <w:t xml:space="preserve">Banker</w:t>
      </w:r>
      <w:r>
        <w:t xml:space="preserve"> </w:t>
      </w:r>
      <w:r>
        <w:t xml:space="preserve">is undergoing a profound transformation. The integration of FinTech solutions is no longer optional but imperative for competitiveness. This section examines how local banks are leveraging blockchain technology, artificial intelligence in credit scoring, and mobile-first banking platforms to serve a tech-savvy demographic. The modern banker in Kuwait City must be bilingual not just linguistically, but technically—fluent in both traditional financial theory and emerging digital paradigms. We present case studies of successful digital adoption initiatives within major Kuwaiti banks, highlighting how they balance innovation with the security concerns inherent to managing national wealth.</w:t>
      </w:r>
    </w:p>
    <w:bookmarkEnd w:id="25"/>
    <w:bookmarkStart w:id="26" w:name="challenges-and-strategic-recommendations"/>
    <w:p>
      <w:pPr>
        <w:pStyle w:val="Heading3"/>
      </w:pPr>
      <w:r>
        <w:t xml:space="preserve">Challenges and Strategic Recommendations</w:t>
      </w:r>
    </w:p>
    <w:p>
      <w:pPr>
        <w:pStyle w:val="FirstParagraph"/>
      </w:pPr>
      <w:r>
        <w:t xml:space="preserve">Despite its strengths, the banking sector in Kuwait City faces significant challenges. These include regulatory fragmentation, talent retention in a competitive global market, and the pressure to diversify revenue streams beyond oil-linked economic activities. For the</w:t>
      </w:r>
      <w:r>
        <w:t xml:space="preserve"> </w:t>
      </w:r>
      <w:r>
        <w:rPr>
          <w:bCs/>
          <w:b/>
        </w:rPr>
        <w:t xml:space="preserve">Banker</w:t>
      </w:r>
      <w:r>
        <w:t xml:space="preserve">, these challenges require adaptive leadership and continuous upskilling. This poster outlines several strategic recommendations for policymakers and banking institutions:</w:t>
      </w:r>
    </w:p>
    <w:p>
      <w:pPr>
        <w:numPr>
          <w:ilvl w:val="0"/>
          <w:numId w:val="1001"/>
        </w:numPr>
        <w:pStyle w:val="Compact"/>
      </w:pPr>
      <w:r>
        <w:rPr>
          <w:bCs/>
          <w:b/>
        </w:rPr>
        <w:t xml:space="preserve">Enhanced Regulatory Coordination:</w:t>
      </w:r>
      <w:r>
        <w:t xml:space="preserve"> </w:t>
      </w:r>
      <w:r>
        <w:t xml:space="preserve">Streamlining oversight to reduce compliance costs while maintaining robust anti-money laundering (AML) standards.</w:t>
      </w:r>
    </w:p>
    <w:p>
      <w:pPr>
        <w:numPr>
          <w:ilvl w:val="0"/>
          <w:numId w:val="1001"/>
        </w:numPr>
        <w:pStyle w:val="Compact"/>
      </w:pPr>
      <w:r>
        <w:rPr>
          <w:bCs/>
          <w:b/>
        </w:rPr>
        <w:t xml:space="preserve">Talent Development Programs:</w:t>
      </w:r>
      <w:r>
        <w:t xml:space="preserve"> </w:t>
      </w:r>
      <w:r>
        <w:t xml:space="preserve">Establishing specialized training modules for bankers focusing on digital literacy and cross-cultural financial negotiation skills relevant to Kuwait City’s international profile.</w:t>
      </w:r>
    </w:p>
    <w:p>
      <w:pPr>
        <w:numPr>
          <w:ilvl w:val="0"/>
          <w:numId w:val="1001"/>
        </w:numPr>
        <w:pStyle w:val="Compact"/>
      </w:pPr>
      <w:r>
        <w:rPr>
          <w:bCs/>
          <w:b/>
        </w:rPr>
        <w:t xml:space="preserve">Sustainable Finance Frameworks:</w:t>
      </w:r>
      <w:r>
        <w:t xml:space="preserve"> </w:t>
      </w:r>
      <w:r>
        <w:t xml:space="preserve">Aligning banking practices with global ESG (Environmental, Social, and Governance) criteria to attract sustainable investment capital into Kuwait City.</w:t>
      </w:r>
    </w:p>
    <w:bookmarkEnd w:id="26"/>
    <w:bookmarkStart w:id="27" w:name="conclusion"/>
    <w:p>
      <w:pPr>
        <w:pStyle w:val="Heading3"/>
      </w:pPr>
      <w:r>
        <w:t xml:space="preserve">Conclusion</w:t>
      </w:r>
    </w:p>
    <w:p>
      <w:pPr>
        <w:pStyle w:val="FirstParagraph"/>
      </w:pPr>
      <w:r>
        <w:t xml:space="preserve">In conclusion, the professional landscape for bankers in Kuwait City is complex and rapidly evolving. It requires individuals who are not only financially competent but also culturally astute and technologically proficient. By recognizing the banker as a custodian of sovereignty, an ethical practitioner, and a digital innovator, we can better understand the mechanisms driving financial growth in this vital Gulf metropolis. Future research should focus on longitudinal studies of how these evolving roles impact broader socioeconomic indicators in Kuwait City over the next decade.</w:t>
      </w:r>
    </w:p>
    <w:bookmarkEnd w:id="27"/>
    <w:p>
      <w:pPr>
        <w:pStyle w:val="BodyText"/>
      </w:pPr>
      <w:r>
        <w:t xml:space="preserve">© 2023 Academic Research on Gulf Finance. All Rights Reserved. | Contact: research@gulffinance.edu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Kuwait City: Bridging Tradition and Modernity</dc:title>
  <dc:creator/>
  <dc:language>en</dc:language>
  <cp:keywords/>
  <dcterms:created xsi:type="dcterms:W3CDTF">2026-07-29T15:14:48Z</dcterms:created>
  <dcterms:modified xsi:type="dcterms:W3CDTF">2026-07-29T15:14:48Z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