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Strategic</w:t>
      </w:r>
      <w:r>
        <w:t xml:space="preserve"> </w:t>
      </w:r>
      <w:r>
        <w:t xml:space="preserve">Adaptation</w:t>
      </w:r>
      <w:r>
        <w:t xml:space="preserve"> </w:t>
      </w:r>
      <w:r>
        <w:t xml:space="preserve">in</w:t>
      </w:r>
      <w:r>
        <w:t xml:space="preserve"> </w:t>
      </w:r>
      <w:r>
        <w:t xml:space="preserve">Mexico</w:t>
      </w:r>
      <w:r>
        <w:t xml:space="preserve"> </w:t>
      </w:r>
      <w:r>
        <w:t xml:space="preserve">City</w:t>
      </w:r>
    </w:p>
    <w:bookmarkStart w:id="20" w:name="Xafb22d572ad363c8623abf75b62c8bb6fda1b01"/>
    <w:p>
      <w:pPr>
        <w:pStyle w:val="Heading1"/>
      </w:pPr>
      <w:r>
        <w:t xml:space="preserve">The Evolving Role of the Banker in Mexico City</w:t>
      </w:r>
    </w:p>
    <w:p>
      <w:pPr>
        <w:pStyle w:val="FirstParagraph"/>
      </w:pPr>
      <w:r>
        <w:rPr>
          <w:bCs/>
          <w:b/>
        </w:rPr>
        <w:t xml:space="preserve">Navigating Digital Transformation, Regulatory Compliance, and Financial Inclusion in Latin America’s Largest Economic Hub</w:t>
      </w:r>
    </w:p>
    <w:bookmarkEnd w:id="20"/>
    <w:p>
      <w:pPr>
        <w:pStyle w:val="BodyText"/>
      </w:pPr>
      <w:r>
        <w:rPr>
          <w:bCs/>
          <w:b/>
        </w:rPr>
        <w:t xml:space="preserve">Presentation Context:</w:t>
      </w:r>
      <w:r>
        <w:t xml:space="preserve"> </w:t>
      </w:r>
      <w:r>
        <w:t xml:space="preserve">Academic Symposium on Emerging Markets Finance | Mexico City, Mexico | October 2023</w:t>
      </w:r>
      <w:r>
        <w:br/>
      </w:r>
      <w:r>
        <w:rPr>
          <w:iCs/>
          <w:i/>
        </w:rPr>
        <w:t xml:space="preserve">Focusing on the intersection of traditional banking heritage and modern fintech innovation.</w:t>
      </w:r>
    </w:p>
    <w:bookmarkStart w:id="23" w:name="introduction-context"/>
    <w:p>
      <w:pPr>
        <w:pStyle w:val="Heading2"/>
      </w:pPr>
      <w:r>
        <w:t xml:space="preserve">Introduction &amp; Context</w:t>
      </w:r>
    </w:p>
    <w:p>
      <w:pPr>
        <w:pStyle w:val="FirstParagraph"/>
      </w:pPr>
      <w:r>
        <w:rPr>
          <w:bCs/>
          <w:b/>
        </w:rPr>
        <w:t xml:space="preserve">Mexico City (Mexico D.F.)</w:t>
      </w:r>
      <w:r>
        <w:t xml:space="preserve">, as the economic engine of Latin America, presents a unique landscape for financial professionals. The role of the modern Banker in this metropolis is no longer confined to transactional services within physical branches. Instead, it has evolved into a complex strategic position requiring mastery over digital ecosystems, regulatory frameworks under</w:t>
      </w:r>
      <w:r>
        <w:t xml:space="preserve"> </w:t>
      </w:r>
      <w:r>
        <w:rPr>
          <w:bCs/>
          <w:b/>
        </w:rPr>
        <w:t xml:space="preserve">Banco de México (Banxico)</w:t>
      </w:r>
      <w:r>
        <w:t xml:space="preserve">, and deep cultural competency.</w:t>
      </w:r>
    </w:p>
    <w:bookmarkStart w:id="21" w:name="the-mexican-financial-landscape"/>
    <w:p>
      <w:pPr>
        <w:pStyle w:val="Heading3"/>
      </w:pPr>
      <w:r>
        <w:t xml:space="preserve">The Mexican Financial Landscape</w:t>
      </w:r>
    </w:p>
    <w:p>
      <w:pPr>
        <w:pStyle w:val="FirstParagraph"/>
      </w:pPr>
      <w:r>
        <w:t xml:space="preserve">Mexico’s banking sector is characterized by high concentration but also rapid technological adoption. In Mexico City, where the majority of corporate headquarters and financial institutions are located, Bankers face intense competition not only from traditional entities like BBVA México and Santander México but also from aggressive FinTech disruptors such as Clip, Albo (formerly Albo Wallet), and Amigo.</w:t>
      </w:r>
    </w:p>
    <w:bookmarkEnd w:id="21"/>
    <w:bookmarkStart w:id="22" w:name="defining-the-modern-banker"/>
    <w:p>
      <w:pPr>
        <w:pStyle w:val="Heading3"/>
      </w:pPr>
      <w:r>
        <w:t xml:space="preserve">Defining the Modern Banker</w:t>
      </w:r>
    </w:p>
    <w:p>
      <w:pPr>
        <w:pStyle w:val="FirstParagraph"/>
      </w:pPr>
      <w:r>
        <w:t xml:space="preserve">The contemporary Banker in Mexico City is defined by three pillars:</w:t>
      </w:r>
    </w:p>
    <w:p>
      <w:pPr>
        <w:numPr>
          <w:ilvl w:val="0"/>
          <w:numId w:val="1001"/>
        </w:numPr>
        <w:pStyle w:val="Compact"/>
      </w:pPr>
      <w:r>
        <w:rPr>
          <w:bCs/>
          <w:b/>
        </w:rPr>
        <w:t xml:space="preserve">Digital Literacy:</w:t>
      </w:r>
      <w:r>
        <w:t xml:space="preserve"> </w:t>
      </w:r>
      <w:r>
        <w:t xml:space="preserve">Proficiency in managing omnichannel banking experiences.</w:t>
      </w:r>
    </w:p>
    <w:p>
      <w:pPr>
        <w:numPr>
          <w:ilvl w:val="0"/>
          <w:numId w:val="1001"/>
        </w:numPr>
        <w:pStyle w:val="Compact"/>
      </w:pPr>
      <w:r>
        <w:rPr>
          <w:bCs/>
          <w:b/>
        </w:rPr>
        <w:t xml:space="preserve">Economic Advisory:</w:t>
      </w:r>
      <w:r>
        <w:t xml:space="preserve"> </w:t>
      </w:r>
      <w:r>
        <w:t xml:space="preserve">Providing value-added consulting to SMEs (PyMEs) that form the backbone of the Mexican economy.</w:t>
      </w:r>
    </w:p>
    <w:p>
      <w:pPr>
        <w:numPr>
          <w:ilvl w:val="0"/>
          <w:numId w:val="1001"/>
        </w:numPr>
        <w:pStyle w:val="Compact"/>
      </w:pPr>
      <w:r>
        <w:rPr>
          <w:bCs/>
          <w:b/>
        </w:rPr>
        <w:t xml:space="preserve">Ethical Stewardship:</w:t>
      </w:r>
      <w:r>
        <w:t xml:space="preserve"> </w:t>
      </w:r>
      <w:r>
        <w:t xml:space="preserve">Navigating anti-money laundering (AML) protocols with rigorous integrity.</w:t>
      </w:r>
    </w:p>
    <w:bookmarkEnd w:id="22"/>
    <w:bookmarkEnd w:id="23"/>
    <w:bookmarkStart w:id="24" w:name="the-rise-of-fintech-in-mexico-city"/>
    <w:p>
      <w:pPr>
        <w:pStyle w:val="Heading2"/>
      </w:pPr>
      <w:r>
        <w:t xml:space="preserve">The Rise of FinTech in Mexico City</w:t>
      </w:r>
    </w:p>
    <w:p>
      <w:pPr>
        <w:pStyle w:val="FirstParagraph"/>
      </w:pPr>
      <w:r>
        <w:t xml:space="preserve">Mexico has emerged as a global leader in FinTech adoption. For the Banker, this is both a threat and an opportunity. The "Banker" must now act as an integrator, partnering with technology providers rather than viewing them solely as competitors. In neighborhoods like Polanco and Santa Fe, the demand for seamless mobile banking integration is highest.</w:t>
      </w:r>
    </w:p>
    <w:p>
      <w:pPr>
        <w:pStyle w:val="BodyText"/>
      </w:pPr>
      <w:r>
        <w:rPr>
          <w:bCs/>
          <w:b/>
        </w:rPr>
        <w:t xml:space="preserve">Key Statistic:</w:t>
      </w:r>
      <w:r>
        <w:t xml:space="preserve"> </w:t>
      </w:r>
      <w:r>
        <w:t xml:space="preserve">Over 70% of Millennials in Mexico City prefer digital-first interactions, forcing traditional Bankers to upskill rapidly in user experience (UX) design and data analytics.</w:t>
      </w:r>
    </w:p>
    <w:bookmarkEnd w:id="24"/>
    <w:bookmarkStart w:id="28" w:name="strategic-challenges-for-the-banker"/>
    <w:p>
      <w:pPr>
        <w:pStyle w:val="Heading2"/>
      </w:pPr>
      <w:r>
        <w:t xml:space="preserve">Strategic Challenges for the Banker</w:t>
      </w:r>
    </w:p>
    <w:bookmarkStart w:id="25" w:name="the-unbanked-population"/>
    <w:p>
      <w:pPr>
        <w:pStyle w:val="Heading3"/>
      </w:pPr>
      <w:r>
        <w:t xml:space="preserve">The Unbanked Population</w:t>
      </w:r>
    </w:p>
    <w:p>
      <w:pPr>
        <w:pStyle w:val="FirstParagraph"/>
      </w:pPr>
      <w:r>
        <w:t xml:space="preserve">A significant portion of Mexico’s population remains unbanked or underbanked, particularly in rural areas surrounding the Federal District. The Banker plays a crucial social role in financial inclusion. In Mexico City, this translates to designing micro-financial products tailored for informal workers and gig-economy participants who lack traditional credit histories.</w:t>
      </w:r>
    </w:p>
    <w:p>
      <w:pPr>
        <w:pStyle w:val="BlockText"/>
      </w:pPr>
      <w:r>
        <w:t xml:space="preserve">"Financial inclusion is not just a regulatory requirement; it is the next frontier for growth in the Mexican banking sector. The Banker must bridge the gap between formal finance and informal economies."</w:t>
      </w:r>
    </w:p>
    <w:bookmarkEnd w:id="25"/>
    <w:bookmarkStart w:id="26" w:name="regulatory-compliance-cnbv-banxico"/>
    <w:p>
      <w:pPr>
        <w:pStyle w:val="Heading3"/>
      </w:pPr>
      <w:r>
        <w:t xml:space="preserve">Regulatory Compliance (CNBV &amp; Banxico)</w:t>
      </w:r>
    </w:p>
    <w:p>
      <w:pPr>
        <w:pStyle w:val="FirstParagraph"/>
      </w:pPr>
      <w:r>
        <w:t xml:space="preserve">The regulatory environment in Mexico is stringent. Bankers must maintain strict adherence to guidelines set by the</w:t>
      </w:r>
      <w:r>
        <w:t xml:space="preserve"> </w:t>
      </w:r>
      <w:r>
        <w:rPr>
          <w:bCs/>
          <w:b/>
        </w:rPr>
        <w:t xml:space="preserve">National Banking and Securities Commission (CNBV)</w:t>
      </w:r>
      <w:r>
        <w:t xml:space="preserve">. Recent changes in regulations regarding open banking and data protection require Bankers to possess legal-tech knowledge. Failure to comply results in severe penalties, impacting the reputation of both the institution and individual professionals.</w:t>
      </w:r>
    </w:p>
    <w:bookmarkEnd w:id="26"/>
    <w:bookmarkStart w:id="27" w:name="cybersecurity-threats"/>
    <w:p>
      <w:pPr>
        <w:pStyle w:val="Heading3"/>
      </w:pPr>
      <w:r>
        <w:t xml:space="preserve">Cybersecurity Threats</w:t>
      </w:r>
    </w:p>
    <w:p>
      <w:pPr>
        <w:pStyle w:val="FirstParagraph"/>
      </w:pPr>
      <w:r>
        <w:t xml:space="preserve">Mexico City is a hotspot for cyber-attacks targeting financial data. The Banker must be vigilant against phishing, social engineering, and identity theft. Training programs in Mexico City now prioritize cybersecurity awareness, ensuring that Bankers can educate clients on safe transaction practices while utilizing bank-grade encryption protocols.</w:t>
      </w:r>
    </w:p>
    <w:bookmarkEnd w:id="27"/>
    <w:bookmarkEnd w:id="28"/>
    <w:bookmarkStart w:id="29" w:name="the-sme-credit-gap"/>
    <w:p>
      <w:pPr>
        <w:pStyle w:val="Heading2"/>
      </w:pPr>
      <w:r>
        <w:t xml:space="preserve">The SME Credit Gap</w:t>
      </w:r>
    </w:p>
    <w:p>
      <w:pPr>
        <w:pStyle w:val="FirstParagraph"/>
      </w:pPr>
      <w:r>
        <w:t xml:space="preserve">Small and Medium Enterprises (SMEs) account for over 90% of businesses in Mexico but receive only a fraction of total credit. Traditional Bankers often rely on outdated scoring models. The new era requires Bankers to utilize alternative data sources—such as utility payments, social media behavior, and supply chain logistics—to assess creditworthiness accurately.</w:t>
      </w:r>
    </w:p>
    <w:bookmarkEnd w:id="29"/>
    <w:bookmarkStart w:id="32" w:name="innovation-the-future"/>
    <w:p>
      <w:pPr>
        <w:pStyle w:val="Heading2"/>
      </w:pPr>
      <w:r>
        <w:t xml:space="preserve">Innovation &amp; The Future</w:t>
      </w:r>
    </w:p>
    <w:bookmarkStart w:id="30" w:name="digital-transformation-strategy"/>
    <w:p>
      <w:pPr>
        <w:pStyle w:val="Heading3"/>
      </w:pPr>
      <w:r>
        <w:t xml:space="preserve">Digital Transformation Strategy</w:t>
      </w:r>
    </w:p>
    <w:p>
      <w:pPr>
        <w:pStyle w:val="FirstParagraph"/>
      </w:pPr>
      <w:r>
        <w:t xml:space="preserve">The future Banker in Mexico City is a hybrid professional. They combine traditional financial acumen with data science capabilities. Institutions are investing heavily in AI-driven credit scoring and blockchain for cross-border payments, particularly with the United States via NAFTA/USMCA trade routes.</w:t>
      </w:r>
    </w:p>
    <w:bookmarkEnd w:id="30"/>
    <w:bookmarkStart w:id="31" w:name="sustainable-finance-esg"/>
    <w:p>
      <w:pPr>
        <w:pStyle w:val="Heading3"/>
      </w:pPr>
      <w:r>
        <w:t xml:space="preserve">Sustainable Finance (ESG)</w:t>
      </w:r>
    </w:p>
    <w:p>
      <w:pPr>
        <w:pStyle w:val="FirstParagraph"/>
      </w:pPr>
      <w:r>
        <w:t xml:space="preserve">Mexico City is increasingly focusing on Environmental, Social, and Governance (ESG) criteria. Bankers are now tasked with evaluating investment opportunities based on sustainability metrics. Green bonds and ESG-linked loans are becoming prominent products in the Mexican market.</w:t>
      </w:r>
    </w:p>
    <w:bookmarkEnd w:id="31"/>
    <w:bookmarkEnd w:id="32"/>
    <w:bookmarkStart w:id="33" w:name="conclusion"/>
    <w:p>
      <w:pPr>
        <w:pStyle w:val="Heading2"/>
      </w:pPr>
      <w:r>
        <w:t xml:space="preserve">Conclusion</w:t>
      </w:r>
    </w:p>
    <w:p>
      <w:pPr>
        <w:pStyle w:val="FirstParagraph"/>
      </w:pPr>
      <w:r>
        <w:t xml:space="preserve">The role of the Banker in Mexico City is undergoing a paradigm shift. No longer just custodians of deposits, they are strategic advisors, technology integrators, and agents of social inclusion. Success in this dynamic environment requires:</w:t>
      </w:r>
    </w:p>
    <w:p>
      <w:pPr>
        <w:numPr>
          <w:ilvl w:val="0"/>
          <w:numId w:val="1002"/>
        </w:numPr>
        <w:pStyle w:val="Compact"/>
      </w:pPr>
      <w:r>
        <w:rPr>
          <w:bCs/>
          <w:b/>
        </w:rPr>
        <w:t xml:space="preserve">Continuous Learning:</w:t>
      </w:r>
      <w:r>
        <w:t xml:space="preserve"> </w:t>
      </w:r>
      <w:r>
        <w:t xml:space="preserve">Adapting to rapid regulatory and technological changes.</w:t>
      </w:r>
    </w:p>
    <w:p>
      <w:pPr>
        <w:numPr>
          <w:ilvl w:val="0"/>
          <w:numId w:val="1002"/>
        </w:numPr>
        <w:pStyle w:val="Compact"/>
      </w:pPr>
      <w:r>
        <w:rPr>
          <w:bCs/>
          <w:b/>
        </w:rPr>
        <w:t xml:space="preserve">Cultural Intelligence:</w:t>
      </w:r>
      <w:r>
        <w:t xml:space="preserve"> </w:t>
      </w:r>
      <w:r>
        <w:t xml:space="preserve">Understanding the nuanced needs of Mexican consumers.</w:t>
      </w:r>
    </w:p>
    <w:p>
      <w:pPr>
        <w:numPr>
          <w:ilvl w:val="0"/>
          <w:numId w:val="1002"/>
        </w:numPr>
        <w:pStyle w:val="Compact"/>
      </w:pPr>
      <w:r>
        <w:rPr>
          <w:bCs/>
          <w:b/>
        </w:rPr>
        <w:t xml:space="preserve">Innovation Mindset:</w:t>
      </w:r>
    </w:p>
    <w:p>
      <w:pPr>
        <w:pStyle w:val="FirstParagraph"/>
      </w:pPr>
      <w:r>
        <w:t xml:space="preserve">.</w:t>
      </w:r>
    </w:p>
    <w:bookmarkEnd w:id="33"/>
    <w:bookmarkStart w:id="34" w:name="acknowledgments"/>
    <w:p>
      <w:pPr>
        <w:pStyle w:val="Heading2"/>
      </w:pPr>
      <w:r>
        <w:t xml:space="preserve">Acknowledgments</w:t>
      </w:r>
    </w:p>
    <w:p>
      <w:pPr>
        <w:pStyle w:val="FirstParagraph"/>
      </w:pPr>
      <w:r>
        <w:t xml:space="preserve">This presentation acknowledges the contributions of academic institutions in Mexico City, including the ITAM and UNAM, for their research on Latin American financial stability. Special thanks to industry partners in Santa Fe for providing case studies on digital banking adoption.</w:t>
      </w:r>
    </w:p>
    <w:bookmarkEnd w:id="34"/>
    <w:bookmarkStart w:id="35" w:name="references-selected"/>
    <w:p>
      <w:pPr>
        <w:pStyle w:val="Heading2"/>
      </w:pPr>
      <w:r>
        <w:t xml:space="preserve">References Selected</w:t>
      </w:r>
    </w:p>
    <w:p>
      <w:pPr>
        <w:numPr>
          <w:ilvl w:val="0"/>
          <w:numId w:val="1003"/>
        </w:numPr>
        <w:pStyle w:val="Compact"/>
      </w:pPr>
      <w:r>
        <w:t xml:space="preserve">Banco de México (Banxico). (2023). *Annual Report on Financial Stability*.</w:t>
      </w:r>
    </w:p>
    <w:p>
      <w:pPr>
        <w:numPr>
          <w:ilvl w:val="0"/>
          <w:numId w:val="1003"/>
        </w:numPr>
        <w:pStyle w:val="Compact"/>
      </w:pPr>
      <w:r>
        <w:t xml:space="preserve">Conaseguros. (2023). *Statistical Bulletin of the Mexican Insurance and Pension Funds Industry*</w:t>
      </w:r>
    </w:p>
    <w:p>
      <w:pPr>
        <w:numPr>
          <w:ilvl w:val="0"/>
          <w:numId w:val="1003"/>
        </w:numPr>
        <w:pStyle w:val="Compact"/>
      </w:pPr>
      <w:r>
        <w:t xml:space="preserve">Orozco, J., &amp; Rivera, L. (2022). "FinTech Disruption in Emerging Markets: The Mexico Case Study." *Journal of Latin American Finance*, 15(3), 45-67.</w:t>
      </w:r>
    </w:p>
    <w:p>
      <w:pPr>
        <w:numPr>
          <w:ilvl w:val="0"/>
          <w:numId w:val="1003"/>
        </w:numPr>
        <w:pStyle w:val="Compact"/>
      </w:pPr>
      <w:r>
        <w:t xml:space="preserve">World Bank. (2023). *Global Findex Database: Country Profile for Mexico*.</w:t>
      </w:r>
    </w:p>
    <w:bookmarkEnd w:id="35"/>
    <w:p>
      <w:pPr>
        <w:pStyle w:val="FirstParagraph"/>
      </w:pPr>
      <w:r>
        <w:t xml:space="preserve">© 2023 Academic Poster Presentation on Banking Evolution in Mexico City. All rights reserved.</w:t>
      </w:r>
    </w:p>
    <w:p>
      <w:pPr>
        <w:pStyle w:val="BodyText"/>
      </w:pPr>
      <w:r>
        <w:t xml:space="preserve">.</w:t>
      </w:r>
    </w:p>
    <w:p>
      <w:pPr>
        <w:pStyle w:val="BodyText"/>
      </w:pPr>
      <w:r>
        <w:rPr>
          <w:iCs/>
          <w:i/>
        </w:rPr>
        <w:t xml:space="preserve">Contact: research@bankingmexico.edu.mx | Venue: Centro de Convenciones, Mexico City</w:t>
      </w:r>
    </w:p>
    <w:p>
      <w:pPr>
        <w:pStyle w:val="BodyText"/>
      </w:pPr>
      <w:r>
        <w:t xml:space="preserve">.</w:t>
      </w:r>
    </w:p>
    <w:p>
      <w:pPr>
        <w:pStyle w:val="BodyText"/>
      </w:pPr>
      <w:r>
        <w:t xml:space="preserve">html&gt;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Strategic Adaptation in Mexico City</dc:title>
  <dc:creator/>
  <dc:language>en</dc:language>
  <cp:keywords/>
  <dcterms:created xsi:type="dcterms:W3CDTF">2026-07-29T22:33:10Z</dcterms:created>
  <dcterms:modified xsi:type="dcterms:W3CDTF">2026-07-29T22:33:10Z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