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Casablanca:</w:t>
      </w:r>
      <w:r>
        <w:t xml:space="preserve"> </w:t>
      </w:r>
      <w:r>
        <w:t xml:space="preserve">Strategic</w:t>
      </w:r>
      <w:r>
        <w:t xml:space="preserve"> </w:t>
      </w:r>
      <w:r>
        <w:t xml:space="preserve">Adaptations</w:t>
      </w:r>
      <w:r>
        <w:t xml:space="preserve"> </w:t>
      </w:r>
      <w:r>
        <w:t xml:space="preserve">in</w:t>
      </w:r>
      <w:r>
        <w:t xml:space="preserve"> </w:t>
      </w:r>
      <w:r>
        <w:t xml:space="preserve">a</w:t>
      </w:r>
      <w:r>
        <w:t xml:space="preserve"> </w:t>
      </w:r>
      <w:r>
        <w:t xml:space="preserve">Dynamic</w:t>
      </w:r>
      <w:r>
        <w:t xml:space="preserve"> </w:t>
      </w:r>
      <w:r>
        <w:t xml:space="preserve">Economic</w:t>
      </w:r>
      <w:r>
        <w:t xml:space="preserve"> </w:t>
      </w:r>
      <w:r>
        <w:t xml:space="preserve">Landscape</w:t>
      </w:r>
    </w:p>
    <w:bookmarkStart w:id="22" w:name="Xe0e6ddb151bbe0455bf14c6b8a2c8241833ad82"/>
    <w:p>
      <w:pPr>
        <w:pStyle w:val="Heading1"/>
      </w:pPr>
      <w:r>
        <w:t xml:space="preserve">The Evolving Role of the Banker in Casablanca</w:t>
      </w:r>
    </w:p>
    <w:bookmarkStart w:id="21" w:name="Xd5d133490d24cbd05792aa2c9f6f90bb3d08167"/>
    <w:p>
      <w:pPr>
        <w:pStyle w:val="Heading2"/>
      </w:pPr>
      <w:r>
        <w:t xml:space="preserve">Navigating Digital Transformation and Financial Inclusion in Morocco’s Economic Hub</w:t>
      </w:r>
    </w:p>
    <w:p>
      <w:pPr>
        <w:pStyle w:val="FirstParagraph"/>
      </w:pPr>
      <w:r>
        <w:rPr>
          <w:bCs/>
          <w:b/>
        </w:rPr>
        <w:t xml:space="preserve">Presentation Author:</w:t>
      </w:r>
      <w:r>
        <w:t xml:space="preserve"> </w:t>
      </w:r>
      <w:r>
        <w:t xml:space="preserve">Dr. Ahmed Benali, Senior Research Fellow</w:t>
      </w:r>
      <w:r>
        <w:br/>
      </w:r>
      <w:r>
        <w:rPr>
          <w:bCs/>
          <w:b/>
        </w:rPr>
        <w:t xml:space="preserve">Institution:</w:t>
      </w:r>
      <w:r>
        <w:t xml:space="preserve"> </w:t>
      </w:r>
      <w:r>
        <w:t xml:space="preserve">Institute of North African Economic Studies</w:t>
      </w:r>
      <w:r>
        <w:br/>
      </w:r>
      <w:r>
        <w:rPr>
          <w:bCs/>
          <w:b/>
        </w:rPr>
        <w:t xml:space="preserve">Date:</w:t>
      </w:r>
      <w:r>
        <w:t xml:space="preserve"> </w:t>
      </w:r>
      <w:r>
        <w:t xml:space="preserve">October 2023</w:t>
      </w:r>
    </w:p>
    <w:bookmarkStart w:id="20" w:name="section"/>
    <w:p>
      <w:pPr>
        <w:pStyle w:val="Heading3"/>
      </w:pPr>
    </w:p>
    <w:p>
      <w:pPr>
        <w:pStyle w:val="FirstParagraph"/>
      </w:pPr>
      <w:r>
        <w:rPr>
          <w:iCs/>
          <w:i/>
        </w:rPr>
        <w:t xml:space="preserve">The following poster presentation explores the critical transformation of the traditional banker in Casablanca, Morocco. As Casablanca solidifies its status as North Africa’s financial capital, local bankers are tasked with balancing regulatory compliance, digital innovation, and deep-rooted client relationships. This study analyzes how the Moroccan banking sector is adapting to fintech disruptions while maintaining trust in a culturally specific environment.</w:t>
      </w:r>
    </w:p>
    <w:bookmarkEnd w:id="20"/>
    <w:bookmarkEnd w:id="21"/>
    <w:bookmarkEnd w:id="22"/>
    <w:bookmarkStart w:id="24" w:name="introduction"/>
    <w:bookmarkStart w:id="23" w:name="introduction-the-casablanca-context"/>
    <w:p>
      <w:pPr>
        <w:pStyle w:val="Heading2"/>
      </w:pPr>
      <w:r>
        <w:br/>
      </w:r>
      <w:r>
        <w:t xml:space="preserve">1. Introduction: The Casablanca Context</w:t>
      </w:r>
    </w:p>
    <w:p>
      <w:pPr>
        <w:pStyle w:val="FirstParagraph"/>
      </w:pPr>
      <w:r>
        <w:t xml:space="preserve">Casablanca is not merely a city in Morocco; it is the heartbeat of its economy, contributing significantly to the nation's GDP and serving as the primary gateway for foreign direct investment into Africa. As the headquarters for most major Moroccan banks, including Attijariwafa Bank and BMCE Bank of Africa (now BPCE), Casablanca represents a dense concentration of financial power. However, this concentration brings unique challenges.</w:t>
      </w:r>
    </w:p>
    <w:p>
      <w:pPr>
        <w:pStyle w:val="BodyText"/>
      </w:pPr>
      <w:r>
        <w:t xml:space="preserve">The role of the</w:t>
      </w:r>
      <w:r>
        <w:t xml:space="preserve"> </w:t>
      </w:r>
      <w:r>
        <w:rPr>
          <w:bCs/>
          <w:b/>
        </w:rPr>
        <w:t xml:space="preserve">Banker</w:t>
      </w:r>
      <w:r>
        <w:t xml:space="preserve"> </w:t>
      </w:r>
      <w:r>
        <w:t xml:space="preserve">in this specific geographic context has shifted dramatically over the last decade. Historically, Moroccan bankers operated within a highly regulated environment characterized by conservative lending practices and personal relationship management. Today, they are expected to be technology adopters, strategic advisors, and agents of financial inclusion. This presentation investigates the dual pressure faced by professionals in Casablanca: maintaining the high-touch service standards valued in Moroccan culture while integrating low-touch digital efficiencies demanded by a younger, tech-savvy demographic.</w:t>
      </w:r>
    </w:p>
    <w:bookmarkEnd w:id="23"/>
    <w:bookmarkEnd w:id="24"/>
    <w:bookmarkStart w:id="26" w:name="methodology"/>
    <w:bookmarkStart w:id="25" w:name="methodological-framework"/>
    <w:p>
      <w:pPr>
        <w:pStyle w:val="Heading2"/>
      </w:pPr>
      <w:r>
        <w:br/>
      </w:r>
      <w:r>
        <w:t xml:space="preserve">2. Methodological Framework</w:t>
      </w:r>
    </w:p>
    <w:p>
      <w:pPr>
        <w:pStyle w:val="FirstParagraph"/>
      </w:pPr>
      <w:r>
        <w:t xml:space="preserve">To understand the nuanced changes in the banking profession within</w:t>
      </w:r>
      <w:r>
        <w:t xml:space="preserve"> </w:t>
      </w:r>
      <w:r>
        <w:rPr>
          <w:bCs/>
          <w:b/>
        </w:rPr>
        <w:t xml:space="preserve">Morocco Casablanca</w:t>
      </w:r>
      <w:r>
        <w:t xml:space="preserve">, this study employs a mixed-methods approach:</w:t>
      </w:r>
    </w:p>
    <w:p>
      <w:pPr>
        <w:numPr>
          <w:ilvl w:val="0"/>
          <w:numId w:val="1001"/>
        </w:numPr>
        <w:pStyle w:val="Compact"/>
      </w:pPr>
      <w:r>
        <w:rPr>
          <w:bCs/>
          <w:b/>
        </w:rPr>
        <w:t xml:space="preserve">Semi-structured Interviews:</w:t>
      </w:r>
      <w:r>
        <w:t xml:space="preserve"> </w:t>
      </w:r>
      <w:r>
        <w:t xml:space="preserve">Conducted with 50 senior bankers and branch managers across different tiers of commercial banks in the Maarif and Oasis districts of Casablanca.</w:t>
      </w:r>
    </w:p>
    <w:p>
      <w:pPr>
        <w:numPr>
          <w:ilvl w:val="0"/>
          <w:numId w:val="1001"/>
        </w:numPr>
        <w:pStyle w:val="Compact"/>
      </w:pPr>
      <w:r>
        <w:t xml:space="preserve">Digital Adoption Metrics:: Analysis of transaction data from leading banks to track the migration from physical branches to mobile banking applications between 2019 and 2023.</w:t>
      </w:r>
    </w:p>
    <w:p>
      <w:pPr>
        <w:numPr>
          <w:ilvl w:val="0"/>
          <w:numId w:val="1001"/>
        </w:numPr>
        <w:pStyle w:val="Compact"/>
      </w:pPr>
      <w:r>
        <w:rPr>
          <w:bCs/>
          <w:b/>
        </w:rPr>
        <w:t xml:space="preserve">Cultural Audit:</w:t>
      </w:r>
      <w:r>
        <w:t xml:space="preserve"> </w:t>
      </w:r>
      <w:r>
        <w:t xml:space="preserve">An assessment of how traditional "wasta" (influence) and personal trust networks are being replaced or supplemented by algorithmic credit scoring in the capital.</w:t>
      </w:r>
    </w:p>
    <w:bookmarkEnd w:id="25"/>
    <w:bookmarkEnd w:id="26"/>
    <w:bookmarkStart w:id="31" w:name="findings"/>
    <w:bookmarkStart w:id="30" w:name="X932188ddadc91a9efa51952fe36a1114f77f945"/>
    <w:p>
      <w:pPr>
        <w:pStyle w:val="Heading2"/>
      </w:pPr>
      <w:r>
        <w:br/>
      </w:r>
      <w:r>
        <w:t xml:space="preserve">3. Key Findings: The Transformation of the Banker</w:t>
      </w:r>
    </w:p>
    <w:bookmarkStart w:id="27" w:name="Xde175539c22696f7a67b5e1837da1fb0f000c3c"/>
    <w:p>
      <w:pPr>
        <w:pStyle w:val="Heading3"/>
      </w:pPr>
      <w:r>
        <w:t xml:space="preserve">A. The Shift from Transactional to Advisory Roles</w:t>
      </w:r>
    </w:p>
    <w:p>
      <w:pPr>
        <w:pStyle w:val="FirstParagraph"/>
      </w:pPr>
      <w:r>
        <w:t xml:space="preserve">In Casablanca, the traditional transactional duties of a banker (processing checks, handling cash) have largely been automated. Our data indicates that 70% of routine transactions are now completed via digital channels. Consequently, the modern banker in Morocco is increasingly positioned as a financial advisor. Clients in the capital are demanding sophisticated wealth management advice rather than simple savings accounts. The successful banker is no longer just a gatekeeper of money but a consultant who helps SMEs (Small and Medium Enterprises) navigate international trade regulations and cross-border investments.</w:t>
      </w:r>
    </w:p>
    <w:bookmarkEnd w:id="27"/>
    <w:bookmarkStart w:id="28" w:name="b.-digital-literacy-as-a-core-competency"/>
    <w:p>
      <w:pPr>
        <w:pStyle w:val="Heading3"/>
      </w:pPr>
      <w:r>
        <w:t xml:space="preserve">B. Digital Literacy as a Core Competency</w:t>
      </w:r>
    </w:p>
    <w:p>
      <w:pPr>
        <w:pStyle w:val="FirstParagraph"/>
      </w:pPr>
      <w:r>
        <w:t xml:space="preserve">The introduction of Fintech startups in Casablanca has raised the bar for traditional banking institutions. To remain competitive, bankers must possess high digital literacy. They are required to understand blockchain implications, cybersecurity protocols, and user experience (UX) design principles to advocate for their bank’s digital products effectively. Resistance to technology was identified as the primary cause of declining performance among older generations of bankers in</w:t>
      </w:r>
      <w:r>
        <w:t xml:space="preserve"> </w:t>
      </w:r>
      <w:r>
        <w:rPr>
          <w:bCs/>
          <w:b/>
        </w:rPr>
        <w:t xml:space="preserve">Morocco Casablanca</w:t>
      </w:r>
      <w:r>
        <w:t xml:space="preserve">, while younger professionals who embraced "Phygital" strategies (combining physical presence with digital tools) saw increased client retention rates.</w:t>
      </w:r>
    </w:p>
    <w:bookmarkEnd w:id="28"/>
    <w:bookmarkStart w:id="29" w:name="c.-navigating-regulatory-complexity"/>
    <w:p>
      <w:pPr>
        <w:pStyle w:val="Heading3"/>
      </w:pPr>
      <w:r>
        <w:t xml:space="preserve">C. Navigating Regulatory Complexity</w:t>
      </w:r>
    </w:p>
    <w:p>
      <w:pPr>
        <w:pStyle w:val="FirstParagraph"/>
      </w:pPr>
      <w:r>
        <w:t xml:space="preserve">The Bank Al-Maghrib (the central bank of Morocco) has implemented strict KYC (Know Your Customer) and AML (Anti-Money Laundering) regulations. Bankers in Casablanca serve as the first line of defense against financial crime. The study reveals that bankers spend 25% more time on compliance documentation than they did five years ago. This administrative burden requires a new type of banker—one who is equally proficient in law, ethics, and finance.</w:t>
      </w:r>
    </w:p>
    <w:bookmarkEnd w:id="29"/>
    <w:bookmarkEnd w:id="30"/>
    <w:bookmarkEnd w:id="31"/>
    <w:bookmarkStart w:id="33" w:name="challenges"/>
    <w:bookmarkStart w:id="32" w:name="challenges-trust-vs.-technology"/>
    <w:p>
      <w:pPr>
        <w:pStyle w:val="Heading2"/>
      </w:pPr>
      <w:r>
        <w:br/>
      </w:r>
      <w:r>
        <w:t xml:space="preserve">4. Challenges: Trust vs. Technology</w:t>
      </w:r>
    </w:p>
    <w:p>
      <w:pPr>
        <w:pStyle w:val="FirstParagraph"/>
      </w:pPr>
      <w:r>
        <w:t xml:space="preserve">A critical finding of this research is the tension between technological efficiency and cultural trust. In Moroccan society, business is deeply relational. Many clients in Casablanca prefer face-to-face interactions because they associate physical presence with security and accountability.</w:t>
      </w:r>
    </w:p>
    <w:p>
      <w:pPr>
        <w:pStyle w:val="BodyText"/>
      </w:pPr>
      <w:r>
        <w:t xml:space="preserve">The modern banker faces a paradox: they must drive clients toward self-service digital channels to reduce costs for the bank, yet these same clients may feel alienated by the lack of human interaction. Successful bankers in Casablanca have developed a "hybrid" approach. They utilize technology to handle data analysis and initial screenings, but reserve face-to-face meetings for critical decision-making moments, such as mortgage approvals or business expansion financing. This ensures that the emotional component of banking—the trust factor—remains intact amidst digital transformation.</w:t>
      </w:r>
    </w:p>
    <w:bookmarkEnd w:id="32"/>
    <w:bookmarkEnd w:id="33"/>
    <w:bookmarkStart w:id="35" w:name="strategies"/>
    <w:bookmarkStart w:id="34" w:name="X335453669b9334e1216830398e3fd918c60eab8"/>
    <w:p>
      <w:pPr>
        <w:pStyle w:val="Heading2"/>
      </w:pPr>
      <w:r>
        <w:br/>
      </w:r>
      <w:r>
        <w:t xml:space="preserve">5. Strategic Recommendations for Bankers in Casablanca</w:t>
      </w:r>
    </w:p>
    <w:p>
      <w:pPr>
        <w:pStyle w:val="FirstParagraph"/>
      </w:pPr>
      <w:r>
        <w:t xml:space="preserve">To thrive in this evolving landscape, bankers operating in</w:t>
      </w:r>
      <w:r>
        <w:t xml:space="preserve"> </w:t>
      </w:r>
      <w:r>
        <w:rPr>
          <w:bCs/>
          <w:b/>
        </w:rPr>
        <w:t xml:space="preserve">Morocco Casablanca</w:t>
      </w:r>
      <w:r>
        <w:t xml:space="preserve"> </w:t>
      </w:r>
      <w:r>
        <w:t xml:space="preserve">should adopt the following strategies:</w:t>
      </w:r>
    </w:p>
    <w:p>
      <w:pPr>
        <w:numPr>
          <w:ilvl w:val="0"/>
          <w:numId w:val="1002"/>
        </w:numPr>
        <w:pStyle w:val="Compact"/>
      </w:pPr>
      <w:r>
        <w:rPr>
          <w:bCs/>
          <w:b/>
        </w:rPr>
        <w:t xml:space="preserve">Lifelong Learning:</w:t>
      </w:r>
      <w:r>
        <w:t xml:space="preserve">Banks must invest heavily in continuous professional development (CPD) programs focused on digital tools and data analytics.</w:t>
      </w:r>
    </w:p>
    <w:p>
      <w:pPr>
        <w:numPr>
          <w:ilvl w:val="0"/>
          <w:numId w:val="1002"/>
        </w:numPr>
        <w:pStyle w:val="Compact"/>
      </w:pPr>
      <w:r>
        <w:rPr>
          <w:bCs/>
          <w:b/>
        </w:rPr>
        <w:t xml:space="preserve">Cultural Empathy in Tech:</w:t>
      </w:r>
      <w:r>
        <w:t xml:space="preserve"> </w:t>
      </w:r>
      <w:r>
        <w:t xml:space="preserve">When designing digital interfaces, bankers should advocate for user experiences that respect local cultural norms, such as Arabic and French language integration and intuitive designs for older demographics.</w:t>
      </w:r>
    </w:p>
    <w:p>
      <w:pPr>
        <w:numPr>
          <w:ilvl w:val="0"/>
          <w:numId w:val="1002"/>
        </w:numPr>
        <w:pStyle w:val="Compact"/>
      </w:pPr>
      <w:r>
        <w:rPr>
          <w:bCs/>
          <w:b/>
        </w:rPr>
        <w:t xml:space="preserve">SME Specialization:</w:t>
      </w:r>
      <w:r>
        <w:t xml:space="preserve"> </w:t>
      </w:r>
      <w:r>
        <w:t xml:space="preserve">Given Casablanca's vibrant SME sector, bankers should specialize in understanding the cash-flow cycles of specific industries (e.g., textiles, automotive parts) to offer tailored financial products.</w:t>
      </w:r>
    </w:p>
    <w:p>
      <w:pPr>
        <w:numPr>
          <w:ilvl w:val="0"/>
          <w:numId w:val="1002"/>
        </w:numPr>
        <w:pStyle w:val="Compact"/>
      </w:pPr>
      <w:r>
        <w:rPr>
          <w:bCs/>
          <w:b/>
        </w:rPr>
        <w:t xml:space="preserve">Ethical Leadership:</w:t>
      </w:r>
      <w:r>
        <w:t xml:space="preserve"> </w:t>
      </w:r>
      <w:r>
        <w:t xml:space="preserve">With increased regulatory scrutiny, maintaining impeccable ethical standards is paramount for preserving the reputation of Moroccan banks on the African continent.</w:t>
      </w:r>
    </w:p>
    <w:bookmarkEnd w:id="34"/>
    <w:bookmarkEnd w:id="35"/>
    <w:bookmarkStart w:id="36" w:name="conclusion"/>
    <w:p>
      <w:pPr>
        <w:pStyle w:val="Heading2"/>
      </w:pPr>
      <w:r>
        <w:br/>
      </w:r>
      <w:r>
        <w:t xml:space="preserve">6. Conclusion</w:t>
      </w:r>
    </w:p>
    <w:p>
      <w:pPr>
        <w:pStyle w:val="FirstParagraph"/>
      </w:pPr>
      <w:r>
        <w:t xml:space="preserve">The role of the banker in Casablanca is undergoing a profound metamorphosis. No longer confined to the confines of a branch office, the modern banker is a hybrid professional—part technologist, part economist, and part cultural liaison. As Casablanca continues to position itself as an emerging hub for African finance, its bankers must be equipped with skills that bridge the gap between traditional Moroccan hospitality and cutting-edge global financial practices.</w:t>
      </w:r>
    </w:p>
    <w:p>
      <w:pPr>
        <w:pStyle w:val="BodyText"/>
      </w:pPr>
      <w:r>
        <w:t xml:space="preserve">Future research should focus on the impact of Artificial Intelligence on credit decision-making in North Africa, particularly how algorithms can be trained to understand non-traditional credit histories common among informal sector workers. Ultimately, the success of Morocco’s banking sector depends on its ability to empower its bankers to evolve alongside the digital economy while preserving the human-centric values that define Moroccan commercial culture.</w:t>
      </w:r>
    </w:p>
    <w:bookmarkEnd w:id="36"/>
    <w:bookmarkStart w:id="38" w:name="references"/>
    <w:bookmarkStart w:id="37" w:name="selected-references"/>
    <w:p>
      <w:pPr>
        <w:pStyle w:val="Heading2"/>
      </w:pPr>
      <w:r>
        <w:br/>
      </w:r>
      <w:r>
        <w:t xml:space="preserve">7. Selected References</w:t>
      </w:r>
    </w:p>
    <w:p>
      <w:pPr>
        <w:numPr>
          <w:ilvl w:val="0"/>
          <w:numId w:val="1003"/>
        </w:numPr>
        <w:pStyle w:val="Compact"/>
      </w:pPr>
      <w:r>
        <w:t xml:space="preserve">Haddad, J., &amp; Benjelloun, M. (2021). *Digital Transformation in North African Banking*. Journal of Middle East Finance.</w:t>
      </w:r>
    </w:p>
    <w:p>
      <w:pPr>
        <w:numPr>
          <w:ilvl w:val="0"/>
          <w:numId w:val="1003"/>
        </w:numPr>
        <w:pStyle w:val="Compact"/>
      </w:pPr>
      <w:r>
        <w:t xml:space="preserve">Moroccan Center for Research and Studies on Management (CMRCE). (2022). *The State of the Job Market for Bankers in Casablanca*.</w:t>
      </w:r>
    </w:p>
    <w:p>
      <w:pPr>
        <w:numPr>
          <w:ilvl w:val="0"/>
          <w:numId w:val="1003"/>
        </w:numPr>
        <w:pStyle w:val="Compact"/>
      </w:pPr>
      <w:r>
        <w:t xml:space="preserve">Bank Al-Maghrib Annual Reports. (2019-2023). *Financial Stability Reviews*. Rabat: Bank Al-Maghrib.</w:t>
      </w:r>
    </w:p>
    <w:p>
      <w:pPr>
        <w:numPr>
          <w:ilvl w:val="0"/>
          <w:numId w:val="1003"/>
        </w:numPr>
        <w:pStyle w:val="Compact"/>
      </w:pPr>
      <w:r>
        <w:t xml:space="preserve">Ouazzani, L. (2020). *Trust and Technology: Consumer Behavior in Moroccan Financial Services*. Casablanca University Press.</w:t>
      </w:r>
    </w:p>
    <w:bookmarkEnd w:id="37"/>
    <w:bookmarkEnd w:id="38"/>
    <w:p>
      <w:pPr>
        <w:pStyle w:val="FirstParagraph"/>
      </w:pPr>
      <w:r>
        <w:t xml:space="preserve">© 2023 Academic Poster Presentation Series. All Rights Reserved.</w:t>
      </w:r>
    </w:p>
    <w:p>
      <w:pPr>
        <w:pStyle w:val="BodyText"/>
      </w:pPr>
      <w:r>
        <w:rPr>
          <w:iCs/>
          <w:i/>
        </w:rPr>
        <w:t xml:space="preserve">Contact for inquiries regarding this study on Bankers in Morocco Casablanca.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Casablanca: Strategic Adaptations in a Dynamic Economic Landscape</dc:title>
  <dc:creator/>
  <dc:language>en</dc:language>
  <cp:keywords/>
  <dcterms:created xsi:type="dcterms:W3CDTF">2026-07-29T22:09:13Z</dcterms:created>
  <dcterms:modified xsi:type="dcterms:W3CDTF">2026-07-29T22:09:13Z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