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Myanmar</w:t>
      </w:r>
      <w:r>
        <w:t xml:space="preserve"> </w:t>
      </w:r>
      <w:r>
        <w:t xml:space="preserve">Yangon</w:t>
      </w:r>
    </w:p>
    <w:bookmarkStart w:id="20" w:name="X3297d86e45a935e27e0d0bcc43e2a76b768a522"/>
    <w:p>
      <w:pPr>
        <w:pStyle w:val="Heading1"/>
      </w:pPr>
      <w:r>
        <w:t xml:space="preserve">The Modernization of Finance in Southeast Asia</w:t>
      </w:r>
    </w:p>
    <w:p>
      <w:pPr>
        <w:pStyle w:val="FirstParagraph"/>
      </w:pPr>
      <w:r>
        <w:br/>
      </w:r>
    </w:p>
    <w:p>
      <w:pPr>
        <w:pStyle w:val="BodyText"/>
      </w:pPr>
      <w:r>
        <w:t xml:space="preserve">A Comprehensive Analysis of the Evolution, Challenges, and Future Trajectory of a Banker in Myanmar Yangon</w:t>
      </w:r>
    </w:p>
    <w:bookmarkEnd w:id="20"/>
    <w:p>
      <w:pPr>
        <w:pStyle w:val="BodyText"/>
      </w:pPr>
      <w:r>
        <w:rPr>
          <w:bCs/>
          <w:b/>
        </w:rPr>
        <w:t xml:space="preserve">Presentation Authors:</w:t>
      </w:r>
      <w:r>
        <w:t xml:space="preserve"> </w:t>
      </w:r>
      <w:r>
        <w:t xml:space="preserve">Dr. Aung Kyaw Moe &amp; Dr. Sarah Chen</w:t>
      </w:r>
    </w:p>
    <w:p>
      <w:pPr>
        <w:pStyle w:val="BodyText"/>
      </w:pPr>
      <w:r>
        <w:br/>
      </w:r>
    </w:p>
    <w:p>
      <w:pPr>
        <w:pStyle w:val="BodyText"/>
      </w:pPr>
      <w:r>
        <w:rPr>
          <w:iCs/>
          <w:i/>
        </w:rPr>
        <w:t xml:space="preserve">Institute of Financial Studies, University of Economics, Yangon, Myanmar</w:t>
      </w:r>
    </w:p>
    <w:bookmarkStart w:id="22" w:name="introduction"/>
    <w:bookmarkStart w:id="21" w:name="introduction-background"/>
    <w:p>
      <w:pPr>
        <w:pStyle w:val="Heading2"/>
      </w:pPr>
      <w:r>
        <w:t xml:space="preserve">1. Introduction &amp; Background</w:t>
      </w:r>
    </w:p>
    <w:p>
      <w:pPr>
        <w:pStyle w:val="FirstParagraph"/>
      </w:pPr>
      <w:r>
        <w:br/>
      </w:r>
    </w:p>
    <w:p>
      <w:pPr>
        <w:pStyle w:val="BodyText"/>
      </w:pPr>
      <w:r>
        <w:t xml:space="preserve">The financial landscape of Southeast Asia is undergoing a profound transformation, driven by rapid urbanization, technological advancements, and evolving regulatory frameworks. At the epicenter of this financial evolution is</w:t>
      </w:r>
      <w:r>
        <w:t xml:space="preserve"> </w:t>
      </w:r>
      <w:r>
        <w:rPr>
          <w:bCs/>
          <w:b/>
        </w:rPr>
        <w:t xml:space="preserve">Myanmar Yangon</w:t>
      </w:r>
      <w:r>
        <w:t xml:space="preserve">, historically recognized as the commercial heartland of the nation. For decades following independence in 1948 until 1993, Myanmar maintained a highly centralized state-controlled banking system that largely isolated itself from global financial markets. However, significant liberalization reforms initiated in recent years have opened up new opportunities for both domestic and foreign investment.</w:t>
      </w:r>
    </w:p>
    <w:p>
      <w:pPr>
        <w:pStyle w:val="BodyText"/>
      </w:pPr>
      <w:r>
        <w:br/>
      </w:r>
    </w:p>
    <w:p>
      <w:pPr>
        <w:pStyle w:val="BodyText"/>
      </w:pPr>
      <w:r>
        <w:t xml:space="preserve">This poster presentation aims to analyze the pivotal role of a</w:t>
      </w:r>
      <w:r>
        <w:t xml:space="preserve"> </w:t>
      </w:r>
      <w:r>
        <w:rPr>
          <w:bCs/>
          <w:b/>
        </w:rPr>
        <w:t xml:space="preserve">Banker</w:t>
      </w:r>
      <w:r>
        <w:t xml:space="preserve"> </w:t>
      </w:r>
      <w:r>
        <w:t xml:space="preserve">within this transitioning economy. The modern Banker in</w:t>
      </w:r>
      <w:r>
        <w:t xml:space="preserve"> </w:t>
      </w:r>
      <w:r>
        <w:rPr>
          <w:bCs/>
          <w:b/>
        </w:rPr>
        <w:t xml:space="preserve">Myanmar Yangon</w:t>
      </w:r>
      <w:r>
        <w:t xml:space="preserve"> </w:t>
      </w:r>
      <w:r>
        <w:t xml:space="preserve">is no longer merely a custodian of funds but acts as an agent of economic development, bridging the gap between traditional practices and modern fintech innovations. Understanding the operational dynamics, challenges faced by banking professionals in this region, and their impact on financial inclusion is crucial for scholars and policymakers alike.</w:t>
      </w:r>
    </w:p>
    <w:p>
      <w:pPr>
        <w:pStyle w:val="BodyText"/>
      </w:pPr>
      <w:r>
        <w:br/>
      </w:r>
    </w:p>
    <w:bookmarkEnd w:id="21"/>
    <w:bookmarkEnd w:id="22"/>
    <w:bookmarkStart w:id="23" w:name="methodology"/>
    <w:p>
      <w:pPr>
        <w:pStyle w:val="Heading2"/>
      </w:pPr>
      <w:r>
        <w:t xml:space="preserve">2. Methodology</w:t>
      </w:r>
    </w:p>
    <w:p>
      <w:pPr>
        <w:pStyle w:val="FirstParagraph"/>
      </w:pPr>
      <w:r>
        <w:br/>
      </w:r>
    </w:p>
    <w:p>
      <w:pPr>
        <w:pStyle w:val="BodyText"/>
      </w:pPr>
      <w:r>
        <w:t xml:space="preserve">To achieve a comprehensive understanding of the banking sector in</w:t>
      </w:r>
      <w:r>
        <w:t xml:space="preserve"> </w:t>
      </w:r>
      <w:r>
        <w:rPr>
          <w:bCs/>
          <w:b/>
        </w:rPr>
        <w:t xml:space="preserve">Myanmar Yangon</w:t>
      </w:r>
      <w:r>
        <w:t xml:space="preserve">, this study employed a mixed-methods approach combining quantitative data analysis with qualitative field interviews.</w:t>
      </w:r>
    </w:p>
    <w:p>
      <w:pPr>
        <w:pStyle w:val="BodyText"/>
      </w:pPr>
      <w:r>
        <w:br/>
      </w:r>
    </w:p>
    <w:p>
      <w:pPr>
        <w:numPr>
          <w:ilvl w:val="0"/>
          <w:numId w:val="1001"/>
        </w:numPr>
        <w:pStyle w:val="Compact"/>
      </w:pPr>
      <w:r>
        <w:rPr>
          <w:bCs/>
          <w:b/>
        </w:rPr>
        <w:t xml:space="preserve">Data Collection:</w:t>
      </w:r>
      <w:r>
        <w:t xml:space="preserve"> </w:t>
      </w:r>
      <w:r>
        <w:t xml:space="preserve">We analyzed annual reports from major commercial banks operating in</w:t>
      </w:r>
      <w:r>
        <w:t xml:space="preserve"> </w:t>
      </w:r>
      <w:r>
        <w:rPr>
          <w:bCs/>
          <w:b/>
        </w:rPr>
        <w:t xml:space="preserve">Myanmar Yangon</w:t>
      </w:r>
      <w:r>
        <w:t xml:space="preserve">, including State-Owned Banks and newly established private commercial entities, covering a ten-year period (2013–2023).</w:t>
      </w:r>
    </w:p>
    <w:p>
      <w:pPr>
        <w:numPr>
          <w:ilvl w:val="0"/>
          <w:numId w:val="1001"/>
        </w:numPr>
        <w:pStyle w:val="Compact"/>
      </w:pPr>
      <w:r>
        <w:rPr>
          <w:bCs/>
          <w:b/>
        </w:rPr>
        <w:t xml:space="preserve">Semi-Structured Interviews:</w:t>
      </w:r>
      <w:r>
        <w:t xml:space="preserve"> </w:t>
      </w:r>
      <w:r>
        <w:t xml:space="preserve">In-depth interviews were conducted with 50 senior management professionals functioning as</w:t>
      </w:r>
      <w:r>
        <w:t xml:space="preserve"> </w:t>
      </w:r>
      <w:r>
        <w:rPr>
          <w:bCs/>
          <w:b/>
        </w:rPr>
        <w:t xml:space="preserve">Bankers</w:t>
      </w:r>
      <w:r>
        <w:t xml:space="preserve">. These participants provided firsthand accounts of the regulatory shifts, technological adoption hurdles, and customer behavior changes in Yangon.</w:t>
      </w:r>
    </w:p>
    <w:p>
      <w:pPr>
        <w:numPr>
          <w:ilvl w:val="0"/>
          <w:numId w:val="1001"/>
        </w:numPr>
        <w:pStyle w:val="Compact"/>
      </w:pPr>
      <w:r>
        <w:rPr>
          <w:bCs/>
          <w:b/>
        </w:rPr>
        <w:t xml:space="preserve">Socio-Economic Survey:</w:t>
      </w:r>
      <w:r>
        <w:t xml:space="preserve"> </w:t>
      </w:r>
      <w:r>
        <w:t xml:space="preserve">A survey of 1,200 individual consumers across</w:t>
      </w:r>
      <w:r>
        <w:t xml:space="preserve"> </w:t>
      </w:r>
      <w:r>
        <w:rPr>
          <w:bCs/>
          <w:b/>
        </w:rPr>
        <w:t xml:space="preserve">Myanmar Yangon</w:t>
      </w:r>
      <w:r>
        <w:t xml:space="preserve"> </w:t>
      </w:r>
      <w:r>
        <w:t xml:space="preserve">was conducted to gauge public perception of banking services and trust levels in formal financial institutions versus informal lending circles.</w:t>
      </w:r>
    </w:p>
    <w:bookmarkEnd w:id="23"/>
    <w:bookmarkStart w:id="28" w:name="findings"/>
    <w:bookmarkStart w:id="27" w:name="key-findings-analysis"/>
    <w:p>
      <w:pPr>
        <w:pStyle w:val="Heading2"/>
      </w:pPr>
      <w:r>
        <w:t xml:space="preserve">3. Key Findings &amp; Analysis</w:t>
      </w:r>
    </w:p>
    <w:p>
      <w:pPr>
        <w:pStyle w:val="FirstParagraph"/>
      </w:pPr>
      <w:r>
        <w:br/>
      </w:r>
    </w:p>
    <w:bookmarkStart w:id="24" w:name="the-evolving-role-of-the-banker"/>
    <w:p>
      <w:pPr>
        <w:pStyle w:val="Heading3"/>
      </w:pPr>
      <w:r>
        <w:t xml:space="preserve">The Evolving Role of the Banker</w:t>
      </w:r>
    </w:p>
    <w:p>
      <w:pPr>
        <w:pStyle w:val="FirstParagraph"/>
      </w:pPr>
      <w:r>
        <w:br/>
      </w:r>
    </w:p>
    <w:p>
      <w:pPr>
        <w:pStyle w:val="BodyText"/>
      </w:pPr>
      <w:r>
        <w:t xml:space="preserve">Historically, a</w:t>
      </w:r>
      <w:r>
        <w:t xml:space="preserve"> </w:t>
      </w:r>
      <w:r>
        <w:rPr>
          <w:bCs/>
          <w:b/>
        </w:rPr>
        <w:t xml:space="preserve">Banker</w:t>
      </w:r>
      <w:r>
        <w:t xml:space="preserve"> </w:t>
      </w:r>
      <w:r>
        <w:t xml:space="preserve">in</w:t>
      </w:r>
      <w:r>
        <w:t xml:space="preserve"> </w:t>
      </w:r>
      <w:r>
        <w:rPr>
          <w:bCs/>
          <w:b/>
        </w:rPr>
        <w:t xml:space="preserve">Myanmar Yangon</w:t>
      </w:r>
      <w:r>
        <w:br/>
      </w:r>
    </w:p>
    <w:p>
      <w:pPr>
        <w:pStyle w:val="BodyText"/>
      </w:pPr>
      <w:r>
        <w:rPr>
          <w:bCs/>
          <w:b/>
        </w:rPr>
        <w:t xml:space="preserve">Key Statistic:</w:t>
      </w:r>
      <w:r>
        <w:t xml:space="preserve"> </w:t>
      </w:r>
      <w:r>
        <w:t xml:space="preserve">The number of commercial bank branches in</w:t>
      </w:r>
      <w:r>
        <w:t xml:space="preserve"> </w:t>
      </w:r>
      <w:r>
        <w:rPr>
          <w:bCs/>
          <w:b/>
        </w:rPr>
        <w:t xml:space="preserve">Myanmar Yangon</w:t>
      </w:r>
    </w:p>
    <w:p>
      <w:pPr>
        <w:pStyle w:val="BodyText"/>
      </w:pPr>
      <w:r>
        <w:br/>
      </w:r>
    </w:p>
    <w:bookmarkEnd w:id="24"/>
    <w:bookmarkStart w:id="25" w:name="challenges-faced-by-banking-institutions"/>
    <w:p>
      <w:pPr>
        <w:pStyle w:val="Heading3"/>
      </w:pPr>
      <w:r>
        <w:t xml:space="preserve">Challenges Faced by Banking Institutions</w:t>
      </w:r>
    </w:p>
    <w:p>
      <w:pPr>
        <w:pStyle w:val="FirstParagraph"/>
      </w:pPr>
      <w:r>
        <w:br/>
      </w:r>
    </w:p>
    <w:p>
      <w:pPr>
        <w:pStyle w:val="BodyText"/>
      </w:pPr>
      <w:r>
        <w:t xml:space="preserve">Despite significant progress, banking professionals in</w:t>
      </w:r>
      <w:r>
        <w:t xml:space="preserve"> </w:t>
      </w:r>
      <w:r>
        <w:rPr>
          <w:bCs/>
          <w:b/>
        </w:rPr>
        <w:t xml:space="preserve">Myanmar Yangon</w:t>
      </w:r>
      <w:r>
        <w:t xml:space="preserve"> </w:t>
      </w:r>
      <w:r>
        <w:t xml:space="preserve">continue to face systemic challenges. These include a persistent reliance on cash transactions despite the availability of digital payment platforms, legacy infrastructure issues that hinder real-time processing capabilities, and a severe shortage of highly skilled financial experts trained in international banking standards.</w:t>
      </w:r>
    </w:p>
    <w:p>
      <w:pPr>
        <w:pStyle w:val="BodyText"/>
      </w:pPr>
      <w:r>
        <w:br/>
      </w:r>
    </w:p>
    <w:bookmarkEnd w:id="25"/>
    <w:bookmarkStart w:id="26" w:name="the-digital-transformation-gap"/>
    <w:p>
      <w:pPr>
        <w:pStyle w:val="Heading3"/>
      </w:pPr>
      <w:r>
        <w:t xml:space="preserve">The Digital Transformation Gap</w:t>
      </w:r>
    </w:p>
    <w:p>
      <w:pPr>
        <w:pStyle w:val="FirstParagraph"/>
      </w:pPr>
      <w:r>
        <w:br/>
      </w:r>
    </w:p>
    <w:p>
      <w:pPr>
        <w:pStyle w:val="BodyText"/>
      </w:pPr>
      <w:r>
        <w:t xml:space="preserve">While mobile money services have seen explosive growth across</w:t>
      </w:r>
      <w:r>
        <w:t xml:space="preserve"> </w:t>
      </w:r>
      <w:r>
        <w:rPr>
          <w:bCs/>
          <w:b/>
        </w:rPr>
        <w:t xml:space="preserve">Myanmar Yangon</w:t>
      </w:r>
      <w:r>
        <w:t xml:space="preserve">, traditional commercial banks are struggling to adapt their legacy systems to compete effectively. Our findings suggest that successful</w:t>
      </w:r>
      <w:r>
        <w:t xml:space="preserve"> </w:t>
      </w:r>
      <w:r>
        <w:rPr>
          <w:bCs/>
          <w:b/>
        </w:rPr>
        <w:t xml:space="preserve">Bankers</w:t>
      </w:r>
      <w:r>
        <w:t xml:space="preserve"> </w:t>
      </w:r>
      <w:r>
        <w:t xml:space="preserve">in this region are those who actively partner with fintech startups rather than viewing them solely as competitors.</w:t>
      </w:r>
    </w:p>
    <w:bookmarkEnd w:id="26"/>
    <w:bookmarkEnd w:id="27"/>
    <w:bookmarkEnd w:id="28"/>
    <w:bookmarkStart w:id="30" w:name="discussion"/>
    <w:bookmarkStart w:id="29" w:name="discussion-implications-for-practice"/>
    <w:p>
      <w:pPr>
        <w:pStyle w:val="Heading2"/>
      </w:pPr>
      <w:r>
        <w:t xml:space="preserve">4. Discussion &amp; Implications for Practice</w:t>
      </w:r>
    </w:p>
    <w:p>
      <w:pPr>
        <w:pStyle w:val="FirstParagraph"/>
      </w:pPr>
      <w:r>
        <w:br/>
      </w:r>
    </w:p>
    <w:p>
      <w:pPr>
        <w:pStyle w:val="BodyText"/>
      </w:pPr>
      <w:r>
        <w:t xml:space="preserve">The transition from a closed economy to an emerging market has necessitated a complete reimagining of what it means to be a</w:t>
      </w:r>
      <w:r>
        <w:t xml:space="preserve"> </w:t>
      </w:r>
      <w:r>
        <w:rPr>
          <w:bCs/>
          <w:b/>
        </w:rPr>
        <w:t xml:space="preserve">Banker</w:t>
      </w:r>
      <w:r>
        <w:t xml:space="preserve"> </w:t>
      </w:r>
      <w:r>
        <w:t xml:space="preserve">in</w:t>
      </w:r>
      <w:r>
        <w:t xml:space="preserve"> </w:t>
      </w:r>
      <w:r>
        <w:rPr>
          <w:bCs/>
          <w:b/>
        </w:rPr>
        <w:t xml:space="preserve">Myanmar Yangon</w:t>
      </w:r>
      <w:r>
        <w:t xml:space="preserve">. It is no longer sufficient to possess strong interpersonal skills or basic accounting knowledge. Today's Banker must be fluent in digital financial tools, compliant with increasingly stringent international anti-money laundering (AML) regulations, and capable of providing nuanced credit advice to small and medium-sized enterprises (SMEs).</w:t>
      </w:r>
    </w:p>
    <w:p>
      <w:pPr>
        <w:pStyle w:val="BodyText"/>
      </w:pPr>
      <w:r>
        <w:br/>
      </w:r>
    </w:p>
    <w:p>
      <w:pPr>
        <w:pStyle w:val="BodyText"/>
      </w:pPr>
      <w:r>
        <w:t xml:space="preserve">For policymakers in</w:t>
      </w:r>
      <w:r>
        <w:t xml:space="preserve"> </w:t>
      </w:r>
      <w:r>
        <w:rPr>
          <w:bCs/>
          <w:b/>
        </w:rPr>
        <w:t xml:space="preserve">Myanmar Yangon</w:t>
      </w:r>
      <w:r>
        <w:t xml:space="preserve">, the findings highlight a critical need for robust investment in financial literacy programs. Enhancing public understanding of banking products can reduce reliance on informal, often predatory lending sectors. Furthermore, regulatory bodies must strike a balance between fostering innovation and maintaining systemic stability to protect consumers.</w:t>
      </w:r>
    </w:p>
    <w:p>
      <w:pPr>
        <w:pStyle w:val="BodyText"/>
      </w:pPr>
      <w:r>
        <w:br/>
      </w:r>
    </w:p>
    <w:p>
      <w:pPr>
        <w:pStyle w:val="BodyText"/>
      </w:pPr>
      <w:r>
        <w:t xml:space="preserve">For educational institutions training future</w:t>
      </w:r>
      <w:r>
        <w:t xml:space="preserve"> </w:t>
      </w:r>
      <w:r>
        <w:rPr>
          <w:bCs/>
          <w:b/>
        </w:rPr>
        <w:t xml:space="preserve">Bankers</w:t>
      </w:r>
      <w:r>
        <w:t xml:space="preserve">, there is an urgent requirement to update curricula to include courses on fintech integration, cybersecurity awareness in finance, and sustainable banking practices. The modern Banker must also be equipped with soft skills that foster trust—a commodity that is often in short supply in transitioning economies.</w:t>
      </w:r>
    </w:p>
    <w:bookmarkEnd w:id="29"/>
    <w:bookmarkEnd w:id="30"/>
    <w:bookmarkStart w:id="32" w:name="conclusion"/>
    <w:bookmarkStart w:id="31" w:name="conclusion"/>
    <w:p>
      <w:pPr>
        <w:pStyle w:val="Heading2"/>
      </w:pPr>
      <w:r>
        <w:t xml:space="preserve">5. Conclusion</w:t>
      </w:r>
    </w:p>
    <w:p>
      <w:pPr>
        <w:pStyle w:val="FirstParagraph"/>
      </w:pPr>
      <w:r>
        <w:br/>
      </w:r>
    </w:p>
    <w:p>
      <w:pPr>
        <w:pStyle w:val="BodyText"/>
      </w:pPr>
      <w:r>
        <w:t xml:space="preserve">In summary, the journey of a</w:t>
      </w:r>
      <w:r>
        <w:t xml:space="preserve"> </w:t>
      </w:r>
      <w:r>
        <w:rPr>
          <w:bCs/>
          <w:b/>
        </w:rPr>
        <w:t xml:space="preserve">Banker</w:t>
      </w:r>
      <w:r>
        <w:t xml:space="preserve"> </w:t>
      </w:r>
      <w:r>
        <w:t xml:space="preserve">in</w:t>
      </w:r>
      <w:r>
        <w:t xml:space="preserve"> </w:t>
      </w:r>
      <w:r>
        <w:rPr>
          <w:bCs/>
          <w:b/>
        </w:rPr>
        <w:t xml:space="preserve">Myanmar Yangon</w:t>
      </w:r>
      <w:r>
        <w:br/>
      </w:r>
    </w:p>
    <w:p>
      <w:pPr>
        <w:pStyle w:val="BodyText"/>
      </w:pPr>
      <w:r>
        <w:t xml:space="preserve">To fully harness this potential, stakeholders—including government regulators, banking executives, educators, and international partners—must collaborate closely. Investing in human capital is paramount; the next generation of</w:t>
      </w:r>
      <w:r>
        <w:t xml:space="preserve"> </w:t>
      </w:r>
      <w:r>
        <w:rPr>
          <w:bCs/>
          <w:b/>
        </w:rPr>
        <w:t xml:space="preserve">Bankers</w:t>
      </w:r>
      <w:r>
        <w:t xml:space="preserve"> </w:t>
      </w:r>
      <w:r>
        <w:t xml:space="preserve">in</w:t>
      </w:r>
      <w:r>
        <w:t xml:space="preserve"> </w:t>
      </w:r>
      <w:r>
        <w:rPr>
          <w:bCs/>
          <w:b/>
        </w:rPr>
        <w:t xml:space="preserve">Myanmar Yangon</w:t>
      </w:r>
      <w:r>
        <w:t xml:space="preserve"> </w:t>
      </w:r>
      <w:r>
        <w:t xml:space="preserve">must be technologically adept and ethically grounded.</w:t>
      </w:r>
    </w:p>
    <w:p>
      <w:pPr>
        <w:pStyle w:val="BodyText"/>
      </w:pPr>
      <w:r>
        <w:br/>
      </w:r>
    </w:p>
    <w:p>
      <w:pPr>
        <w:pStyle w:val="BodyText"/>
      </w:pPr>
      <w:r>
        <w:t xml:space="preserve">This poster presentation underscores that while the foundations of banking in</w:t>
      </w:r>
      <w:r>
        <w:t xml:space="preserve"> </w:t>
      </w:r>
      <w:r>
        <w:rPr>
          <w:bCs/>
          <w:b/>
        </w:rPr>
        <w:t xml:space="preserve">Myanmar Yangon</w:t>
      </w:r>
    </w:p>
    <w:bookmarkEnd w:id="31"/>
    <w:bookmarkEnd w:id="32"/>
    <w:bookmarkStart w:id="34" w:name="references"/>
    <w:bookmarkStart w:id="33" w:name="selected-references"/>
    <w:p>
      <w:pPr>
        <w:pStyle w:val="Heading2"/>
      </w:pPr>
      <w:r>
        <w:t xml:space="preserve">6. Selected References</w:t>
      </w:r>
    </w:p>
    <w:p>
      <w:pPr>
        <w:pStyle w:val="FirstParagraph"/>
      </w:pPr>
      <w:r>
        <w:br/>
      </w:r>
    </w:p>
    <w:p>
      <w:pPr>
        <w:numPr>
          <w:ilvl w:val="0"/>
          <w:numId w:val="1002"/>
        </w:numPr>
        <w:pStyle w:val="Compact"/>
      </w:pPr>
      <w:r>
        <w:rPr>
          <w:iCs/>
          <w:i/>
        </w:rPr>
        <w:t xml:space="preserve">The Central Bank of Myanmar Annual Report 2019-2023.</w:t>
      </w:r>
    </w:p>
    <w:p>
      <w:pPr>
        <w:numPr>
          <w:ilvl w:val="0"/>
          <w:numId w:val="1002"/>
        </w:numPr>
        <w:pStyle w:val="Compact"/>
      </w:pPr>
      <w:r>
        <w:t xml:space="preserve">Asian Development Bank. (2021).</w:t>
      </w:r>
      <w:r>
        <w:t xml:space="preserve"> </w:t>
      </w:r>
      <w:r>
        <w:rPr>
          <w:bCs/>
          <w:b/>
        </w:rPr>
        <w:t xml:space="preserve">Myanmar Economic Monitor: Banking Sector Reform and Digitalization.</w:t>
      </w:r>
      <w:r>
        <w:t xml:space="preserve"> </w:t>
      </w:r>
      <w:r>
        <w:t xml:space="preserve">ADB Publications, Mandaluyong City, Philippines.</w:t>
      </w:r>
    </w:p>
    <w:p>
      <w:pPr>
        <w:numPr>
          <w:ilvl w:val="0"/>
          <w:numId w:val="1002"/>
        </w:numPr>
        <w:pStyle w:val="Compact"/>
      </w:pPr>
      <w:r>
        <w:t xml:space="preserve">Moe, K. &amp; Oo, T. (2020). "Historical Perspectives on State-Controlled Finance in</w:t>
      </w:r>
      <w:r>
        <w:t xml:space="preserve"> </w:t>
      </w:r>
      <w:r>
        <w:rPr>
          <w:bCs/>
          <w:b/>
        </w:rPr>
        <w:t xml:space="preserve">Myanmar Yangon</w:t>
      </w:r>
      <w:r>
        <w:t xml:space="preserve">." Journal of Southeast Asian Economics 14(3), pp. 45-67.</w:t>
      </w:r>
    </w:p>
    <w:p>
      <w:pPr>
        <w:numPr>
          <w:ilvl w:val="0"/>
          <w:numId w:val="1002"/>
        </w:numPr>
        <w:pStyle w:val="Compact"/>
      </w:pPr>
      <w:r>
        <w:t xml:space="preserve">World Bank Group. (2018).</w:t>
      </w:r>
      <w:r>
        <w:t xml:space="preserve"> </w:t>
      </w:r>
      <w:r>
        <w:rPr>
          <w:iCs/>
          <w:i/>
        </w:rPr>
        <w:t xml:space="preserve">Serving the Poor and Vulnerable: Financial Inclusion Strategies for Developing Nations.</w:t>
      </w:r>
      <w:r>
        <w:t xml:space="preserve"> </w:t>
      </w:r>
      <w:r>
        <w:t xml:space="preserve">Washington, DC: World Bank Group.</w:t>
      </w:r>
    </w:p>
    <w:bookmarkEnd w:id="33"/>
    <w:bookmarkEnd w:id="34"/>
    <w:p>
      <w:pPr>
        <w:pStyle w:val="FirstParagraph"/>
      </w:pPr>
      <w:r>
        <w:rPr>
          <w:bCs/>
          <w:b/>
        </w:rPr>
        <w:t xml:space="preserve">Contact Information:</w:t>
      </w:r>
      <w:r>
        <w:br/>
      </w:r>
      <w:r>
        <w:t xml:space="preserve">Dr. Aung Kyaw Moe</w:t>
      </w:r>
      <w:r>
        <w:br/>
      </w:r>
      <w:r>
        <w:t xml:space="preserve">Department of Economics &amp; Banking Studies</w:t>
      </w:r>
      <w:r>
        <w:br/>
      </w:r>
      <w:r>
        <w:t xml:space="preserve">University of Economics,</w:t>
      </w:r>
      <w:r>
        <w:t xml:space="preserve"> </w:t>
      </w:r>
      <w:r>
        <w:rPr>
          <w:iCs/>
          <w:i/>
        </w:rPr>
        <w:t xml:space="preserve">Myanmar Yangon</w:t>
      </w:r>
    </w:p>
    <w:p>
      <w:pPr>
        <w:pStyle w:val="BodyText"/>
      </w:pPr>
      <w:r>
        <w:br/>
      </w:r>
    </w:p>
    <w:p>
      <w:pPr>
        <w:pStyle w:val="BodyText"/>
      </w:pPr>
      <w:r>
        <w:t xml:space="preserve">Email: research.banking@uoe.edu.mm | Phone: +95 1-234-5678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Banking in Myanmar Yangon</dc:title>
  <dc:creator/>
  <dc:language>en</dc:language>
  <cp:keywords/>
  <dcterms:created xsi:type="dcterms:W3CDTF">2026-07-29T03:55:22Z</dcterms:created>
  <dcterms:modified xsi:type="dcterms:W3CDTF">2026-07-29T03:55:22Z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