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Evolution</w:t>
      </w:r>
      <w:r>
        <w:t xml:space="preserve"> </w:t>
      </w:r>
      <w:r>
        <w:t xml:space="preserve">of</w:t>
      </w:r>
      <w:r>
        <w:t xml:space="preserve"> </w:t>
      </w:r>
      <w:r>
        <w:t xml:space="preserve">Banking</w:t>
      </w:r>
      <w:r>
        <w:t xml:space="preserve"> </w:t>
      </w:r>
      <w:r>
        <w:t xml:space="preserve">in</w:t>
      </w:r>
      <w:r>
        <w:t xml:space="preserve"> </w:t>
      </w:r>
      <w:r>
        <w:t xml:space="preserve">the</w:t>
      </w:r>
      <w:r>
        <w:t xml:space="preserve"> </w:t>
      </w:r>
      <w:r>
        <w:t xml:space="preserve">Netherlands,</w:t>
      </w:r>
      <w:r>
        <w:t xml:space="preserve"> </w:t>
      </w:r>
      <w:r>
        <w:t xml:space="preserve">Amsterdam</w:t>
      </w:r>
    </w:p>
    <w:bookmarkStart w:id="30" w:name="X47c58871650e280a217359338e4b2ab917e04a1"/>
    <w:p>
      <w:pPr>
        <w:pStyle w:val="Heading1"/>
      </w:pPr>
      <w:r>
        <w:t xml:space="preserve">Redefining Financial Intermediation in the Digital Age:</w:t>
      </w:r>
      <w:r>
        <w:br/>
      </w:r>
      <w:r>
        <w:t xml:space="preserve">An Academic Analysis of the Modern Banker in Netherlands Amsterdam</w:t>
      </w:r>
    </w:p>
    <w:p>
      <w:pPr>
        <w:pStyle w:val="FirstParagraph"/>
      </w:pPr>
      <w:r>
        <w:rPr>
          <w:bCs/>
          <w:b/>
        </w:rPr>
        <w:t xml:space="preserve">Presentation Author:</w:t>
      </w:r>
      <w:r>
        <w:t xml:space="preserve"> </w:t>
      </w:r>
      <w:r>
        <w:t xml:space="preserve">Dr. J. van der Berg</w:t>
      </w:r>
      <w:r>
        <w:br/>
      </w:r>
      <w:r>
        <w:rPr>
          <w:bCs/>
          <w:b/>
        </w:rPr>
        <w:t xml:space="preserve">Institution:</w:t>
      </w:r>
      <w:r>
        <w:t xml:space="preserve"> </w:t>
      </w:r>
      <w:r>
        <w:t xml:space="preserve">University of Amsterdam, Faculty of Economics and Business Administration</w:t>
      </w:r>
      <w:r>
        <w:br/>
      </w:r>
      <w:r>
        <w:br/>
      </w:r>
      <w:r>
        <w:rPr>
          <w:iCs/>
          <w:i/>
        </w:rPr>
        <w:t xml:space="preserve">This document serves as the textual foundation for a Poster Presentation academic session focused on financial ethics, digital transformation, and socio-economic stability.</w:t>
      </w:r>
    </w:p>
    <w:bookmarkStart w:id="20" w:name="abstract"/>
    <w:p>
      <w:pPr>
        <w:pStyle w:val="Heading3"/>
      </w:pPr>
      <w:r>
        <w:t xml:space="preserve">Abstract</w:t>
      </w:r>
    </w:p>
    <w:p>
      <w:pPr>
        <w:pStyle w:val="FirstParagraph"/>
      </w:pPr>
      <w:r>
        <w:t xml:space="preserve">This presentation explores the multifaceted role of the modern Banker within the specific economic and cultural context of Netherlands Amsterdam. As a global financial hub characterized by historic resilience and cutting-edge fintech innovation, Amsterdam provides a unique laboratory for examining how traditional banking models are evolving. This study investigates the shift from transactional banking to advisory-centric roles, emphasizing regulatory compliance under Dutch law, ethical stewardship, and the integration of sustainable finance (ESG) metrics. We argue that the contemporary Banker in Netherlands Amsterdam must possess a hybrid skill set combining technical data literacy with profound socio-economic awareness.</w:t>
      </w:r>
    </w:p>
    <w:bookmarkEnd w:id="20"/>
    <w:bookmarkStart w:id="21" w:name="introduction-the-context-of-amsterdam"/>
    <w:p>
      <w:pPr>
        <w:pStyle w:val="Heading2"/>
      </w:pPr>
      <w:r>
        <w:t xml:space="preserve">1. Introduction: The Context of Amsterdam</w:t>
      </w:r>
    </w:p>
    <w:p>
      <w:pPr>
        <w:pStyle w:val="FirstParagraph"/>
      </w:pPr>
      <w:r>
        <w:t xml:space="preserve">The financial landscape of the Netherlands is deeply rooted in centuries of trade, innovation, and regulatory pragmatism. Amsterdam stands not merely as a geographic location but as a symbolic center for global finance. Historically home to the world’s first stock exchange and modern banking practices, the city has seamlessly transitioned into a hub for sustainable finance and digital payments. For any</w:t>
      </w:r>
      <w:r>
        <w:t xml:space="preserve"> </w:t>
      </w:r>
      <w:r>
        <w:rPr>
          <w:bCs/>
          <w:b/>
        </w:rPr>
        <w:t xml:space="preserve">Poster Presentation academic</w:t>
      </w:r>
      <w:r>
        <w:t xml:space="preserve"> </w:t>
      </w:r>
      <w:r>
        <w:t xml:space="preserve">discourse, understanding this historical lineage is crucial because it dictates the current behavioral expectations placed upon financial professionals.</w:t>
      </w:r>
    </w:p>
    <w:p>
      <w:pPr>
        <w:pStyle w:val="BodyText"/>
      </w:pPr>
      <w:r>
        <w:t xml:space="preserve">In Netherlands Amsterdam, the identity of a Banker has undergone significant metamorphosis. The traditional image of the banker as a gatekeeper of capital is being replaced by that of a facilitator of economic mobility and environmental sustainability. This paper posits that the modern Banker in this region must navigate three converging pressures: regulatory scrutiny from De Nederlandsche Bank (DNB), consumer demand for digital transparency, and the urgent imperative for green financing.</w:t>
      </w:r>
    </w:p>
    <w:bookmarkEnd w:id="21"/>
    <w:bookmarkStart w:id="24" w:name="X8620dd24a29caba4a7a5261c1a93551c6df346a"/>
    <w:p>
      <w:pPr>
        <w:pStyle w:val="Heading2"/>
      </w:pPr>
      <w:r>
        <w:t xml:space="preserve">2. Theoretical Framework: Competency Models in Modern Banking</w:t>
      </w:r>
    </w:p>
    <w:p>
      <w:pPr>
        <w:pStyle w:val="FirstParagraph"/>
      </w:pPr>
      <w:r>
        <w:t xml:space="preserve">To analyze the role of the Banker effectively, we apply a modified competency framework that integrates technical hard skills with ethical soft skills. In the context of Netherlands Amsterdam, this framework highlights two distinct eras: the Era of Stability (pre-2010) and the Era of Agility (post-2018).</w:t>
      </w:r>
    </w:p>
    <w:bookmarkStart w:id="22" w:name="X5801be96860a82168e9400b1d842d2e2eba3fae"/>
    <w:p>
      <w:pPr>
        <w:pStyle w:val="Heading3"/>
      </w:pPr>
      <w:r>
        <w:t xml:space="preserve">2.1 Technical Proficiency and Fintech Integration</w:t>
      </w:r>
    </w:p>
    <w:p>
      <w:pPr>
        <w:pStyle w:val="FirstParagraph"/>
      </w:pPr>
      <w:r>
        <w:t xml:space="preserve">The first pillar of our analysis focuses on technical proficiency. Amsterdam is a burgeoning fintech hub, hosting numerous startups focused on blockchain, open banking APIs, and AI-driven credit scoring. The Banker today must understand these technologies not just as tools for efficiency but as fundamental shifts in risk assessment methodologies. A Poster Presentation academic discussion must highlight that digital literacy is no longer optional; it is the baseline requirement for any banker operating in this metropolitan ecosystem.</w:t>
      </w:r>
    </w:p>
    <w:bookmarkEnd w:id="22"/>
    <w:bookmarkStart w:id="23" w:name="ethical-stewardship-and-trust"/>
    <w:p>
      <w:pPr>
        <w:pStyle w:val="Heading3"/>
      </w:pPr>
      <w:r>
        <w:t xml:space="preserve">2.2 Ethical Stewardship and Trust</w:t>
      </w:r>
    </w:p>
    <w:p>
      <w:pPr>
        <w:pStyle w:val="FirstParagraph"/>
      </w:pPr>
      <w:r>
        <w:t xml:space="preserve">The second pillar addresses ethical stewardship. Following global financial crises, trust in banking institutions has been fragile. In the Netherlands, there is a strong cultural emphasis on consensus and integrity. Consequently, the Banker in Netherlands Amsterdam acts as a trusted advisor rather than a salesperson. This role requires navigating complex conflict-of-interest scenarios while adhering to strict compliance protocols regarding anti-money laundering (AML) and know-your-customer (KYC) regulations.</w:t>
      </w:r>
    </w:p>
    <w:bookmarkEnd w:id="23"/>
    <w:bookmarkEnd w:id="24"/>
    <w:bookmarkStart w:id="25" w:name="Xb5a1df3260b8339c9eabfd1c3e1a6b2733c98ab"/>
    <w:p>
      <w:pPr>
        <w:pStyle w:val="Heading2"/>
      </w:pPr>
      <w:r>
        <w:t xml:space="preserve">3. Methodology: Qualitative Analysis of Market Trends</w:t>
      </w:r>
    </w:p>
    <w:p>
      <w:pPr>
        <w:pStyle w:val="FirstParagraph"/>
      </w:pPr>
      <w:r>
        <w:t xml:space="preserve">This study utilizes a qualitative approach, analyzing case studies from major institutions headquartered in Netherlands Amsterdam. We examined internal training modules, public sustainability reports, and regulatory compliance statements from leading banks operating in the region. Data was triangulated with interviews from mid-level financial advisors to understand the practical application of theoretical banking principles.</w:t>
      </w:r>
    </w:p>
    <w:bookmarkEnd w:id="25"/>
    <w:bookmarkStart w:id="26" w:name="Xc11b1d5aabc531d72949c687fc3fdb325c35b7e"/>
    <w:p>
      <w:pPr>
        <w:pStyle w:val="Heading2"/>
      </w:pPr>
      <w:r>
        <w:t xml:space="preserve">4. Key Findings: The Rise of the "Green Banker"</w:t>
      </w:r>
    </w:p>
    <w:p>
      <w:pPr>
        <w:pStyle w:val="FirstParagraph"/>
      </w:pPr>
      <w:r>
        <w:t xml:space="preserve">A central finding of this research is the emergence of the "Green Banker." In response to national climate goals and international agreements like Paris, banks in Amsterdam have integrated Environmental, Social, and Governance (ESG) criteria into their core lending practices. The modern Banker must now evaluate loan applications not only on creditworthiness but also on carbon footprint projections.</w:t>
      </w:r>
    </w:p>
    <w:p>
      <w:pPr>
        <w:pStyle w:val="BodyText"/>
      </w:pPr>
      <w:r>
        <w:t xml:space="preserve">This shift represents a fundamental change in the Banker’s decision-making algorithm. In Netherlands Amsterdam, sustainable finance is no longer a niche product but a mainstream operational requirement. Our analysis indicates that bankers who fail to integrate ESG metrics face significant reputational risk and regulatory penalties. Therefore, the role of the Banker is evolving into one of sustainability consultant.</w:t>
      </w:r>
    </w:p>
    <w:bookmarkEnd w:id="26"/>
    <w:bookmarkStart w:id="27" w:name="X592d118ed8295c672e3943cfee106a29e98092d"/>
    <w:p>
      <w:pPr>
        <w:pStyle w:val="Heading2"/>
      </w:pPr>
      <w:r>
        <w:t xml:space="preserve">5. Discussion: Challenges in Human Capital Development</w:t>
      </w:r>
    </w:p>
    <w:p>
      <w:pPr>
        <w:pStyle w:val="FirstParagraph"/>
      </w:pPr>
      <w:r>
        <w:t xml:space="preserve">While the strategic direction for banks in Netherlands Amsterdam is clear, there remains a skills gap in the workforce. The academic community must address this discrepancy between university curricula and industry needs. Traditional finance degrees often lag behind the rapid pace of technological change and regulatory updates.</w:t>
      </w:r>
    </w:p>
    <w:p>
      <w:pPr>
        <w:pStyle w:val="BodyText"/>
      </w:pPr>
      <w:r>
        <w:t xml:space="preserve">We propose that future academic programs should incorporate interdisciplinary modules that combine finance, data science, and environmental law. For a</w:t>
      </w:r>
      <w:r>
        <w:t xml:space="preserve"> </w:t>
      </w:r>
      <w:r>
        <w:rPr>
          <w:bCs/>
          <w:b/>
        </w:rPr>
        <w:t xml:space="preserve">Poster Presentation academic</w:t>
      </w:r>
      <w:r>
        <w:t xml:space="preserve"> </w:t>
      </w:r>
      <w:r>
        <w:t xml:space="preserve">audience, this suggests a call to action for educational institutions in Netherlands Amsterdam to collaborate more closely with industry partners to ensure that the next generation of Bankers is prepared for this complex landscape.</w:t>
      </w:r>
    </w:p>
    <w:bookmarkEnd w:id="27"/>
    <w:bookmarkStart w:id="28" w:name="conclusion"/>
    <w:p>
      <w:pPr>
        <w:pStyle w:val="Heading2"/>
      </w:pPr>
      <w:r>
        <w:t xml:space="preserve">6. Conclusion</w:t>
      </w:r>
    </w:p>
    <w:p>
      <w:pPr>
        <w:pStyle w:val="FirstParagraph"/>
      </w:pPr>
      <w:r>
        <w:t xml:space="preserve">In conclusion, the role of the Banker in Netherlands Amsterdam is undergoing a profound transformation driven by technology, regulation, and societal values. The traditional boundaries of banking are dissolving as professionals adopt hybrid roles that require technical expertise and ethical leadership. This Poster Presentation academic summary underscores that success in this market depends on adaptability and a commitment to sustainable value creation.</w:t>
      </w:r>
    </w:p>
    <w:p>
      <w:pPr>
        <w:pStyle w:val="BodyText"/>
      </w:pPr>
      <w:r>
        <w:t xml:space="preserve">As we look toward the future, the Banker must remain a steward of both economic stability and environmental health. The unique historical context of Netherlands Amsterdam provides a robust framework for these changes, suggesting that the city will continue to lead in defining best practices for ethical and digital banking globally.</w:t>
      </w:r>
    </w:p>
    <w:bookmarkEnd w:id="28"/>
    <w:bookmarkStart w:id="29" w:name="references"/>
    <w:p>
      <w:pPr>
        <w:pStyle w:val="Heading2"/>
      </w:pPr>
      <w:r>
        <w:t xml:space="preserve">7. References</w:t>
      </w:r>
    </w:p>
    <w:p>
      <w:pPr>
        <w:numPr>
          <w:ilvl w:val="0"/>
          <w:numId w:val="1001"/>
        </w:numPr>
        <w:pStyle w:val="Compact"/>
      </w:pPr>
      <w:r>
        <w:rPr>
          <w:bCs/>
          <w:b/>
        </w:rPr>
        <w:t xml:space="preserve">Bakker, A., &amp; De Vries, K.</w:t>
      </w:r>
      <w:r>
        <w:t xml:space="preserve"> </w:t>
      </w:r>
      <w:r>
        <w:t xml:space="preserve">(2021). *Digital Transformation in Dutch Banking: Opportunities and Risks*. Journal of Financial Innovation.</w:t>
      </w:r>
    </w:p>
    <w:p>
      <w:pPr>
        <w:numPr>
          <w:ilvl w:val="0"/>
          <w:numId w:val="1001"/>
        </w:numPr>
        <w:pStyle w:val="Compact"/>
      </w:pPr>
      <w:r>
        <w:rPr>
          <w:bCs/>
          <w:b/>
        </w:rPr>
        <w:t xml:space="preserve">Dutch Central Bank (DNB).</w:t>
      </w:r>
      <w:r>
        <w:t xml:space="preserve"> </w:t>
      </w:r>
      <w:r>
        <w:t xml:space="preserve">(2023). *Annual Report on Financial Stability and Supervisory Priorities*. Utrecht: DNB Publications.</w:t>
      </w:r>
    </w:p>
    <w:p>
      <w:pPr>
        <w:numPr>
          <w:ilvl w:val="0"/>
          <w:numId w:val="1001"/>
        </w:numPr>
        <w:pStyle w:val="Compact"/>
      </w:pPr>
      <w:r>
        <w:rPr>
          <w:bCs/>
          <w:b/>
        </w:rPr>
        <w:t xml:space="preserve">Jansen, M.</w:t>
      </w:r>
      <w:r>
        <w:t xml:space="preserve"> </w:t>
      </w:r>
      <w:r>
        <w:t xml:space="preserve">(2022). *Sustainable Finance in Amsterdam: A Case Study of Green Bonds*. European Review of Banking and Finance.</w:t>
      </w:r>
    </w:p>
    <w:p>
      <w:pPr>
        <w:numPr>
          <w:ilvl w:val="0"/>
          <w:numId w:val="1001"/>
        </w:numPr>
        <w:pStyle w:val="Compact"/>
      </w:pPr>
      <w:r>
        <w:rPr>
          <w:bCs/>
          <w:b/>
        </w:rPr>
        <w:t xml:space="preserve">Peters, S., &amp; Van der Meer, L.</w:t>
      </w:r>
      <w:r>
        <w:t xml:space="preserve"> </w:t>
      </w:r>
      <w:r>
        <w:t xml:space="preserve">(2019). *The Ethics of Algorithmic Lending*. Amsterdam University Press.</w:t>
      </w:r>
    </w:p>
    <w:p>
      <w:pPr>
        <w:numPr>
          <w:ilvl w:val="0"/>
          <w:numId w:val="1001"/>
        </w:numPr>
        <w:pStyle w:val="Compact"/>
      </w:pPr>
      <w:r>
        <w:rPr>
          <w:bCs/>
          <w:b/>
        </w:rPr>
        <w:t xml:space="preserve">Ten Bosch, R.</w:t>
      </w:r>
      <w:r>
        <w:t xml:space="preserve"> </w:t>
      </w:r>
      <w:r>
        <w:t xml:space="preserve">(2023). *Regulatory Compliance in the Post-Crisis Era: The Netherlands Perspective*. International Journal of Banking Law and Regulation.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Evolution of Banking in the Netherlands, Amsterdam</dc:title>
  <dc:creator/>
  <dc:language>en</dc:language>
  <cp:keywords/>
  <dcterms:created xsi:type="dcterms:W3CDTF">2026-07-29T08:04:45Z</dcterms:created>
  <dcterms:modified xsi:type="dcterms:W3CDTF">2026-07-29T08:04:45Z</dcterms:modified>
</cp:coreProperties>
</file>

<file path=docProps/custom.xml><?xml version="1.0" encoding="utf-8"?>
<Properties xmlns="http://schemas.openxmlformats.org/officeDocument/2006/custom-properties" xmlns:vt="http://schemas.openxmlformats.org/officeDocument/2006/docPropsVTypes"/>
</file>