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Wellington</w:t>
      </w:r>
    </w:p>
    <w:bookmarkStart w:id="20" w:name="X439c605c794e5e091ad61c5467696b809df3960"/>
    <w:p>
      <w:pPr>
        <w:pStyle w:val="Heading1"/>
      </w:pPr>
      <w:r>
        <w:t xml:space="preserve">The Evolving Role of the Banker: Navigating Financial Complexity in New Zealand Wellington</w:t>
      </w:r>
    </w:p>
    <w:p>
      <w:pPr>
        <w:pStyle w:val="FirstParagraph"/>
      </w:pPr>
      <w:r>
        <w:t xml:space="preserve">Exploring Socio-Economic Impacts, Digital Transformation, and Regional Leadership in the Capital City</w:t>
      </w:r>
    </w:p>
    <w:p>
      <w:pPr>
        <w:pStyle w:val="BodyText"/>
      </w:pPr>
      <w:r>
        <w:t xml:space="preserve">Prepared by: [Author Name], Department of Economics &amp; Business Studies</w:t>
      </w:r>
    </w:p>
    <w:p>
      <w:pPr>
        <w:pStyle w:val="BodyText"/>
      </w:pPr>
      <w:r>
        <w:t xml:space="preserve">Institutional Affiliation: University of Wellington</w:t>
      </w:r>
    </w:p>
    <w:p>
      <w:pPr>
        <w:pStyle w:val="BodyText"/>
      </w:pPr>
      <w:r>
        <w:t xml:space="preserve">Contact Information: email@university.ac.nz | +64 4 XXXXXXX</w:t>
      </w:r>
    </w:p>
    <w:bookmarkEnd w:id="20"/>
    <w:bookmarkStart w:id="21" w:name="introduction-contextual-framework"/>
    <w:p>
      <w:pPr>
        <w:pStyle w:val="Heading2"/>
      </w:pPr>
      <w:r>
        <w:t xml:space="preserve">Introduction &amp; Contextual Framework</w:t>
      </w:r>
    </w:p>
    <w:p>
      <w:pPr>
        <w:pStyle w:val="FirstParagraph"/>
      </w:pPr>
      <w:r>
        <w:t xml:space="preserve">The role of the banker has undergone a radical transformation over the past two decades, driven by technological disruption, regulatory shifts following global financial crises, and changing consumer expectations. In New Zealand Wellington, this transition is particularly pronounced due to its status as the political capital and a burgeoning hub for financial services. As one of New Zealand's key centers for banking operations and regulatory bodies such as the Reserve Bank of New Zealand (RBNZ), Wellington serves as a critical microcosm through which to examine these macroeconomic trends. This poster presentation aims to dissect the specific functions, challenges, and emerging opportunities facing bankers operating within this unique geographical and economic environment.</w:t>
      </w:r>
    </w:p>
    <w:p>
      <w:pPr>
        <w:pStyle w:val="BodyText"/>
      </w:pPr>
      <w:r>
        <w:t xml:space="preserve">Wellington's banking sector is not merely a local branch of global institutions but also hosts significant headquarters for domestic banks like ANZ NZ, ASB NZ (owned by Westpac), BNZ (owned by KBC), and the iconic Kiwibank. The banker in this region acts as a pivotal intermediary between international capital flows and local New Zealand communities, managing everything from agricultural finance to urban housing development. Understanding the specific dynamics of Wellington allows us to extract broader insights into how bankers adapt their methodologies in response to regional socio-economic pressures.</w:t>
      </w:r>
    </w:p>
    <w:bookmarkEnd w:id="21"/>
    <w:bookmarkStart w:id="22" w:name="key-challenges-for-bankers-in-wellington"/>
    <w:p>
      <w:pPr>
        <w:pStyle w:val="Heading2"/>
      </w:pPr>
      <w:r>
        <w:t xml:space="preserve">Key Challenges for Bankers in Wellington</w:t>
      </w:r>
    </w:p>
    <w:p>
      <w:pPr>
        <w:numPr>
          <w:ilvl w:val="0"/>
          <w:numId w:val="1001"/>
        </w:numPr>
        <w:pStyle w:val="Compact"/>
      </w:pPr>
      <w:r>
        <w:rPr>
          <w:bCs/>
          <w:b/>
        </w:rPr>
        <w:t xml:space="preserve">Housing Affordability Pressures:</w:t>
      </w:r>
      <w:r>
        <w:t xml:space="preserve"> </w:t>
      </w:r>
      <w:r>
        <w:t xml:space="preserve">Like many major cities globally, Wellington faces significant housing affordability issues. Bankers are frequently at the center of this debate, tasked with balancing responsible lending practices—mandated by RBNZ policies—against the high demand for mortgages among first-home buyers and investors.</w:t>
      </w:r>
    </w:p>
    <w:p>
      <w:pPr>
        <w:numPr>
          <w:ilvl w:val="0"/>
          <w:numId w:val="1001"/>
        </w:numPr>
        <w:pStyle w:val="Compact"/>
      </w:pPr>
      <w:r>
        <w:rPr>
          <w:bCs/>
          <w:b/>
        </w:rPr>
        <w:t xml:space="preserve">Digital Transformation and Fintech Competition:</w:t>
      </w:r>
      <w:r>
        <w:t xml:space="preserve"> </w:t>
      </w:r>
      <w:r>
        <w:t xml:space="preserve">The rise of digital-only banks (neobanks) and fintech startups headquartered in Wellington's tech corridors poses an existential threat to traditional banking models. Bankers must now possess not just financial acumen but also technological literacy to remain competitive, requiring a shift from product-centric selling to customer-centric digital experience design.</w:t>
      </w:r>
    </w:p>
    <w:p>
      <w:pPr>
        <w:numPr>
          <w:ilvl w:val="0"/>
          <w:numId w:val="1001"/>
        </w:numPr>
        <w:pStyle w:val="Compact"/>
      </w:pPr>
      <w:r>
        <w:rPr>
          <w:bCs/>
          <w:b/>
        </w:rPr>
        <w:t xml:space="preserve">Regulatory Compliance Burden:</w:t>
      </w:r>
      <w:r>
        <w:t xml:space="preserve"> </w:t>
      </w:r>
      <w:r>
        <w:t xml:space="preserve">Operating within New Zealand's strict regulatory framework means bankers spend considerable resources on compliance. Recent changes regarding anti-money laundering (AML) and counter-financing of terrorism (CFT) regulations have increased the operational overhead for financial institutions, demanding rigorous due diligence processes.</w:t>
      </w:r>
    </w:p>
    <w:p>
      <w:pPr>
        <w:numPr>
          <w:ilvl w:val="0"/>
          <w:numId w:val="1001"/>
        </w:numPr>
        <w:pStyle w:val="Compact"/>
      </w:pPr>
      <w:r>
        <w:rPr>
          <w:bCs/>
          <w:b/>
        </w:rPr>
        <w:t xml:space="preserve">Economic Volatility and Climate Risk:</w:t>
      </w:r>
      <w:r>
        <w:t xml:space="preserve"> </w:t>
      </w:r>
      <w:r>
        <w:t xml:space="preserve">As climate change poses tangible risks to New Zealand's infrastructure, Wellington-based bankers are increasingly scrutinizing environmental, social, and governance (ESG) criteria. Assessing the long-term viability of loans related to climate-vulnerable assets has become a critical component of modern risk management strategies.</w:t>
      </w:r>
    </w:p>
    <w:bookmarkEnd w:id="22"/>
    <w:bookmarkStart w:id="23" w:name="X8be85b2b58bd710f6337cf2443af0e949280d9c"/>
    <w:p>
      <w:pPr>
        <w:pStyle w:val="Heading2"/>
      </w:pPr>
      <w:r>
        <w:t xml:space="preserve">Emerging Opportunities &amp; Strategic Adaptations</w:t>
      </w:r>
    </w:p>
    <w:p>
      <w:pPr>
        <w:pStyle w:val="FirstParagraph"/>
      </w:pPr>
      <w:r>
        <w:t xml:space="preserve">In response to these challenges, the modern banker in Wellington is leveraging new opportunities to solidify their relevance. There is a growing emphasis on sustainable finance and green bonds. Banks headquartered in the capital are increasingly leading initiatives that fund renewable energy projects and eco-friendly developments across New Zealand. This positions bankers not just as lenders, but as essential partners in national sustainability goals.</w:t>
      </w:r>
    </w:p>
    <w:bookmarkEnd w:id="23"/>
    <w:bookmarkStart w:id="24" w:name="key-insight-the-hybrid-model"/>
    <w:p>
      <w:pPr>
        <w:pStyle w:val="Heading2"/>
      </w:pPr>
      <w:r>
        <w:t xml:space="preserve">Key Insight: The Hybrid Model</w:t>
      </w:r>
    </w:p>
    <w:p>
      <w:pPr>
        <w:pStyle w:val="FirstParagraph"/>
      </w:pPr>
      <w:r>
        <w:t xml:space="preserve">The most successful bankers in New Zealand Wellington today adopt a hybrid approach. They combine traditional relationship management skills—which are highly valued in local communities—with sophisticated digital tools for data analytics and customer service. This dual competency allows them to provide personalized financial advice while utilizing automation for routine transactions, thereby optimizing efficiency without sacrificing the human touch that defines Kiwi banking culture.</w:t>
      </w:r>
    </w:p>
    <w:bookmarkEnd w:id="24"/>
    <w:bookmarkStart w:id="25" w:name="case-study-wellingtons-innovation-hub"/>
    <w:p>
      <w:pPr>
        <w:pStyle w:val="Heading2"/>
      </w:pPr>
      <w:r>
        <w:t xml:space="preserve">Case Study: Wellington's Innovation Hub</w:t>
      </w:r>
    </w:p>
    <w:p>
      <w:pPr>
        <w:pStyle w:val="FirstParagraph"/>
      </w:pPr>
      <w:r>
        <w:t xml:space="preserve">This analysis draws upon case studies from major financial institutions established within Wellington. By examining how these entities have integrated AI-driven credit scoring systems and blockchain technology for secure transactions, we observe a tangible shift towards greater inclusivity and speed in loan processing. For example, local banks have successfully deployed mobile apps that allow real-time mortgage applications, significantly reducing approval times compared to pre-digital eras. This technological adoption illustrates how Wellington bankers are staying ahead of regional competitors while setting standards for customer experience across New Zealand.</w:t>
      </w:r>
    </w:p>
    <w:bookmarkEnd w:id="25"/>
    <w:bookmarkStart w:id="26" w:name="conclusion-future-outlook"/>
    <w:p>
      <w:pPr>
        <w:pStyle w:val="Heading2"/>
      </w:pPr>
      <w:r>
        <w:t xml:space="preserve">Conclusion &amp; Future Outlook</w:t>
      </w:r>
    </w:p>
    <w:p>
      <w:pPr>
        <w:pStyle w:val="FirstParagraph"/>
      </w:pPr>
      <w:r>
        <w:t xml:space="preserve">The role of the banker in New Zealand Wellington is far from obsolete; rather, it is evolving into a more complex, technologically integrated profession. While challenges such as housing affordability and regulatory burdens remain significant, proactive adaptation through digital transformation and sustainable finance offers robust pathways for growth. Future research should focus on quantifying the exact impact of fintech integration on small business lending rates in the Wellington region.</w:t>
      </w:r>
    </w:p>
    <w:p>
      <w:pPr>
        <w:pStyle w:val="BodyText"/>
      </w:pPr>
      <w:r>
        <w:t xml:space="preserve">For policymakers, students, and financial practitioners alike, understanding these dynamics is crucial. The Wellington model demonstrates that traditional banking values can coexist with cutting-edge innovation when guided by a commitment to community welfare and regulatory integrity. As global financial landscapes continue to shift, New Zealand Wellington remains a vital testing ground for the future of banking excellence.</w:t>
      </w:r>
    </w:p>
    <w:bookmarkEnd w:id="26"/>
    <w:bookmarkStart w:id="27" w:name="selected-references"/>
    <w:p>
      <w:pPr>
        <w:pStyle w:val="Heading2"/>
      </w:pPr>
      <w:r>
        <w:t xml:space="preserve">Selected References</w:t>
      </w:r>
    </w:p>
    <w:p>
      <w:pPr>
        <w:numPr>
          <w:ilvl w:val="0"/>
          <w:numId w:val="1002"/>
        </w:numPr>
        <w:pStyle w:val="Compact"/>
      </w:pPr>
      <w:r>
        <w:t xml:space="preserve">Reserve Bank of New Zealand (RBNZ). (2023).</w:t>
      </w:r>
      <w:r>
        <w:t xml:space="preserve"> </w:t>
      </w:r>
      <w:r>
        <w:rPr>
          <w:iCs/>
          <w:i/>
        </w:rPr>
        <w:t xml:space="preserve">Annual Reports and Financial Stability Reviews</w:t>
      </w:r>
      <w:r>
        <w:t xml:space="preserve">.</w:t>
      </w:r>
    </w:p>
    <w:p>
      <w:pPr>
        <w:numPr>
          <w:ilvl w:val="0"/>
          <w:numId w:val="1002"/>
        </w:numPr>
        <w:pStyle w:val="Compact"/>
      </w:pPr>
      <w:r>
        <w:t xml:space="preserve">New Zealand Treasury. (2023).</w:t>
      </w:r>
      <w:r>
        <w:t xml:space="preserve"> </w:t>
      </w:r>
      <w:r>
        <w:rPr>
          <w:iCs/>
          <w:i/>
        </w:rPr>
        <w:t xml:space="preserve">Economic Performance and Outlook</w:t>
      </w:r>
      <w:r>
        <w:t xml:space="preserve">. Wellington: NZ Government.</w:t>
      </w:r>
    </w:p>
    <w:p>
      <w:pPr>
        <w:numPr>
          <w:ilvl w:val="0"/>
          <w:numId w:val="1002"/>
        </w:numPr>
        <w:pStyle w:val="Compact"/>
      </w:pPr>
      <w:r>
        <w:t xml:space="preserve">Brown, J., &amp; Smith, L. (2022). "Digital Disruption in New Zealand Banking."</w:t>
      </w:r>
      <w:r>
        <w:t xml:space="preserve"> </w:t>
      </w:r>
      <w:r>
        <w:rPr>
          <w:iCs/>
          <w:i/>
        </w:rPr>
        <w:t xml:space="preserve">Journal of Pacific Economics</w:t>
      </w:r>
      <w:r>
        <w:t xml:space="preserve">, 15(3), 45-67.</w:t>
      </w:r>
    </w:p>
    <w:p>
      <w:pPr>
        <w:numPr>
          <w:ilvl w:val="0"/>
          <w:numId w:val="1002"/>
        </w:numPr>
        <w:pStyle w:val="Compact"/>
      </w:pPr>
      <w:r>
        <w:t xml:space="preserve">Kiwibank Limited. (2023).</w:t>
      </w:r>
      <w:r>
        <w:t xml:space="preserve"> </w:t>
      </w:r>
      <w:r>
        <w:rPr>
          <w:iCs/>
          <w:i/>
        </w:rPr>
        <w:t xml:space="preserve">Sustainability Report: Financing a Green Future</w:t>
      </w:r>
      <w:r>
        <w:t xml:space="preserve">. Wellington, NZ.</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Banker in Wellington</dc:title>
  <dc:creator/>
  <dc:language>en</dc:language>
  <cp:keywords/>
  <dcterms:created xsi:type="dcterms:W3CDTF">2026-07-30T03:16:12Z</dcterms:created>
  <dcterms:modified xsi:type="dcterms:W3CDTF">2026-07-30T03:16:12Z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