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A</w:t>
      </w:r>
      <w:r>
        <w:t xml:space="preserve"> </w:t>
      </w:r>
      <w:r>
        <w:t xml:space="preserve">Strategic</w:t>
      </w:r>
      <w:r>
        <w:t xml:space="preserve"> </w:t>
      </w:r>
      <w:r>
        <w:t xml:space="preserve">Analysis</w:t>
      </w:r>
    </w:p>
    <w:bookmarkStart w:id="21" w:name="Xf8ce37c8f449c3701a2ce288207073e131975a2"/>
    <w:p>
      <w:pPr>
        <w:pStyle w:val="Heading1"/>
      </w:pPr>
      <w:r>
        <w:t xml:space="preserve">The Evolving Role of the Banker in Saudi Arabia Jeddah</w:t>
      </w:r>
    </w:p>
    <w:p>
      <w:pPr>
        <w:pStyle w:val="FirstParagraph"/>
      </w:pPr>
      <w:r>
        <w:rPr>
          <w:bCs/>
          <w:b/>
        </w:rPr>
        <w:t xml:space="preserve">A Strategic Analysis of Financial Transformation, Vision 2030, and Islamic Banking Dynamics</w:t>
      </w:r>
    </w:p>
    <w:p>
      <w:pPr>
        <w:pStyle w:val="BodyText"/>
      </w:pPr>
      <w:r>
        <w:rPr>
          <w:iCs/>
          <w:i/>
        </w:rPr>
        <w:t xml:space="preserve">Presented by:</w:t>
      </w:r>
      <w:r>
        <w:t xml:space="preserve"> </w:t>
      </w:r>
      <w:r>
        <w:t xml:space="preserve">Dr. Ahmed Al-Farsi</w:t>
      </w:r>
      <w:r>
        <w:br/>
      </w:r>
      <w:r>
        <w:t xml:space="preserve">Department of Finance &amp; Banking</w:t>
      </w:r>
      <w:r>
        <w:br/>
      </w:r>
      <w:r>
        <w:t xml:space="preserve">King Abdulaziz University</w:t>
      </w:r>
    </w:p>
    <w:bookmarkStart w:id="20" w:name="Xb8dd44b19ff83930b10ee49d4089c077b4a7441"/>
    <w:p>
      <w:pPr>
        <w:pStyle w:val="Heading4"/>
      </w:pPr>
      <w:r>
        <w:t xml:space="preserve">A Poster Presentation for the International Conference on Emerging Markets in the Middle East</w:t>
      </w:r>
    </w:p>
    <w:bookmarkEnd w:id="20"/>
    <w:bookmarkEnd w:id="21"/>
    <w:p>
      <w:pPr>
        <w:pStyle w:val="FirstParagraph"/>
      </w:pPr>
      <w:r>
        <w:rPr>
          <w:u w:val="single"/>
          <w:bCs/>
          <w:b/>
        </w:rPr>
        <w:t xml:space="preserve">Abstract:</w:t>
      </w:r>
      <w:r>
        <w:rPr>
          <w:bCs/>
          <w:b/>
        </w:rPr>
        <w:t xml:space="preserve">The Kingdom of Saudi Arabia, particularly its commercial hub Jeddah, is undergoing a profound economic metamorphosis. This presentation explores the critical transformation of the role of the</w:t>
      </w:r>
      <w:r>
        <w:rPr>
          <w:bCs/>
          <w:b/>
        </w:rPr>
        <w:t xml:space="preserve"> </w:t>
      </w:r>
      <w:r>
        <w:rPr>
          <w:bCs/>
          <w:b/>
          <w:bCs/>
          <w:b/>
        </w:rPr>
        <w:t xml:space="preserve">Banker</w:t>
      </w:r>
      <w:r>
        <w:rPr>
          <w:bCs/>
          <w:b/>
        </w:rPr>
        <w:t xml:space="preserve"> </w:t>
      </w:r>
      <w:r>
        <w:rPr>
          <w:bCs/>
          <w:b/>
        </w:rPr>
        <w:t xml:space="preserve">within this unique geopolitical and cultural context. As Saudi Arabia Jeddah positions itself as a global logistics and tourism gateway, traditional banking functions are being superseded by strategic financial advisory services, digital innovation, and strict adherence to Sharia-compliant principles. This study analyzes how modern bankers must navigate the dual pressures of regulatory compliance under the Saudi Central Bank (SAMA) while fostering financial inclusion. The findings suggest that the contemporary banker in Jeddah is no longer merely a custodian of assets but a pivotal architect of national economic stability and individual wealth diversification.</w:t>
      </w:r>
    </w:p>
    <w:bookmarkStart w:id="22" w:name="introduction"/>
    <w:p>
      <w:pPr>
        <w:pStyle w:val="Heading2"/>
      </w:pPr>
      <w:r>
        <w:t xml:space="preserve">1. Introduction</w:t>
      </w:r>
    </w:p>
    <w:p>
      <w:pPr>
        <w:pStyle w:val="FirstParagraph"/>
      </w:pPr>
      <w:r>
        <w:t xml:space="preserve">The economic landscape of Saudi Arabia is shifting rapidly away from oil dependency towards a diversified economy, driven by the ambitious Vision 2030 framework. Within this macroeconomic environment, the city of</w:t>
      </w:r>
      <w:r>
        <w:t xml:space="preserve"> </w:t>
      </w:r>
      <w:r>
        <w:rPr>
          <w:bCs/>
          <w:b/>
        </w:rPr>
        <w:t xml:space="preserve">Saudi Arabia Jeddah</w:t>
      </w:r>
      <w:r>
        <w:t xml:space="preserve"> </w:t>
      </w:r>
      <w:r>
        <w:t xml:space="preserve">stands as a critical node for international trade and tourism. Consequently, the financial institutions serving this region are under immense pressure to adapt to new demands.</w:t>
      </w:r>
    </w:p>
    <w:p>
      <w:pPr>
        <w:pStyle w:val="BodyText"/>
      </w:pPr>
      <w:r>
        <w:t xml:space="preserve">The role of the</w:t>
      </w:r>
      <w:r>
        <w:t xml:space="preserve"> </w:t>
      </w:r>
      <w:r>
        <w:rPr>
          <w:bCs/>
          <w:b/>
        </w:rPr>
        <w:t xml:space="preserve">Banker</w:t>
      </w:r>
      <w:r>
        <w:t xml:space="preserve"> </w:t>
      </w:r>
      <w:r>
        <w:t xml:space="preserve">is central to this transition. Historically, bankers in the region were viewed primarily as transactional intermediaries. However, in today’s volatile global market, characterized by fluctuating oil prices and rapid technological adoption, the banker must evolve into a strategic partner for businesses and individuals alike. This presentation aims to dissect the multifaceted responsibilities of bankers operating specifically within Jeddah’s unique economic ecosystem.</w:t>
      </w:r>
    </w:p>
    <w:bookmarkEnd w:id="22"/>
    <w:bookmarkStart w:id="23" w:name="the-context-jeddah-as-an-economic-hub"/>
    <w:p>
      <w:pPr>
        <w:pStyle w:val="Heading2"/>
      </w:pPr>
      <w:r>
        <w:t xml:space="preserve">2. The Context: Jeddah as an Economic Hub</w:t>
      </w:r>
    </w:p>
    <w:p>
      <w:pPr>
        <w:pStyle w:val="FirstParagraph"/>
      </w:pPr>
      <w:r>
        <w:t xml:space="preserve">Jeddah is not just a port city; it is the gateway to Makkah and Madinah, driving religious tourism that brings millions of visitors annually. Furthermore, with the expansion of ports and logistics sectors under Vision 30, Jeddah has become a logistical powerhouse. This growth creates specific banking needs:</w:t>
      </w:r>
    </w:p>
    <w:p>
      <w:pPr>
        <w:numPr>
          <w:ilvl w:val="0"/>
          <w:numId w:val="1001"/>
        </w:numPr>
        <w:pStyle w:val="Compact"/>
      </w:pPr>
      <w:r>
        <w:rPr>
          <w:bCs/>
          <w:b/>
        </w:rPr>
        <w:t xml:space="preserve">Trade Finance Complexity:</w:t>
      </w:r>
      <w:r>
        <w:t xml:space="preserve"> </w:t>
      </w:r>
      <w:r>
        <w:t xml:space="preserve">Bankers must manage intricate letters of credit and supply chain financing for import-export businesses.</w:t>
      </w:r>
    </w:p>
    <w:p>
      <w:pPr>
        <w:pStyle w:val="FirstParagraph"/>
      </w:pPr>
      <w:r>
        <w:t xml:space="preserve">The influx of foreign investment requires cross-border currency management expertise.</w:t>
      </w:r>
    </w:p>
    <w:p>
      <w:pPr>
        <w:pStyle w:val="BodyText"/>
      </w:pPr>
      <w:r>
        <w:t xml:space="preserve">The demographic shift towards a younger, tech-savvy population in Jeddah demands seamless digital banking experiences.</w:t>
      </w:r>
    </w:p>
    <w:bookmarkEnd w:id="23"/>
    <w:bookmarkStart w:id="27" w:name="the-modern-banker-key-competencies"/>
    <w:p>
      <w:pPr>
        <w:pStyle w:val="Heading2"/>
      </w:pPr>
      <w:r>
        <w:t xml:space="preserve">3. The Modern Banker: Key Competencies</w:t>
      </w:r>
    </w:p>
    <w:p>
      <w:pPr>
        <w:pStyle w:val="FirstParagraph"/>
      </w:pPr>
      <w:r>
        <w:t xml:space="preserve">To serve the economy of</w:t>
      </w:r>
      <w:r>
        <w:t xml:space="preserve"> </w:t>
      </w:r>
      <w:r>
        <w:rPr>
          <w:bCs/>
          <w:b/>
        </w:rPr>
        <w:t xml:space="preserve">Saudi Arabia Jeddah</w:t>
      </w:r>
      <w:r>
        <w:t xml:space="preserve"> </w:t>
      </w:r>
      <w:r>
        <w:t xml:space="preserve">effectively, the modern</w:t>
      </w:r>
      <w:r>
        <w:t xml:space="preserve"> </w:t>
      </w:r>
      <w:r>
        <w:rPr>
          <w:bCs/>
          <w:b/>
        </w:rPr>
        <w:t xml:space="preserve">Banker</w:t>
      </w:r>
      <w:r>
        <w:t xml:space="preserve"> </w:t>
      </w:r>
      <w:r>
        <w:t xml:space="preserve">must possess a distinct set of competencies that go beyond traditional financial analysis.</w:t>
      </w:r>
    </w:p>
    <w:bookmarkStart w:id="24" w:name="a.-mastery-of-islamic-finance-principles"/>
    <w:p>
      <w:pPr>
        <w:pStyle w:val="Heading3"/>
      </w:pPr>
      <w:r>
        <w:t xml:space="preserve">A. Mastery of Islamic Finance Principles</w:t>
      </w:r>
    </w:p>
    <w:p>
      <w:pPr>
        <w:pStyle w:val="FirstParagraph"/>
      </w:pPr>
      <w:r>
        <w:t xml:space="preserve">A significant portion of banking in Saudi Arabia operates under Sharia law. The banker must have an intricate understanding of Islamic financial instruments such as Murabaha (cost-plus financing), Ijara (leasing), and Sukuk (bonds). Failure to ensure compliance is not just a regulatory breach but a cultural offense that can damage reputation irreparably.</w:t>
      </w:r>
    </w:p>
    <w:bookmarkEnd w:id="24"/>
    <w:bookmarkStart w:id="25" w:name="X4173561c388073f92d3273acc4d60e063607820"/>
    <w:p>
      <w:pPr>
        <w:pStyle w:val="Heading3"/>
      </w:pPr>
      <w:r>
        <w:t xml:space="preserve">B. Digital Literacy and Fintech Integration</w:t>
      </w:r>
    </w:p>
    <w:p>
      <w:pPr>
        <w:pStyle w:val="FirstParagraph"/>
      </w:pPr>
      <w:r>
        <w:t xml:space="preserve">The Central Bank of Saudi Arabia has launched the "SAMA Fintech" program to encourage innovation. Bankers in Jeddah are expected to integrate blockchain technologies for transparent transactions and utilize AI-driven risk assessment models. The banker must be comfortable discussing API banking, open banking frameworks, and cybersecurity protocols with clients.</w:t>
      </w:r>
    </w:p>
    <w:bookmarkEnd w:id="25"/>
    <w:bookmarkStart w:id="26" w:name="c.-strategic-advisory-skills"/>
    <w:p>
      <w:pPr>
        <w:pStyle w:val="Heading3"/>
      </w:pPr>
      <w:r>
        <w:t xml:space="preserve">C. Strategic Advisory Skills</w:t>
      </w:r>
    </w:p>
    <w:p>
      <w:pPr>
        <w:pStyle w:val="FirstParagraph"/>
      </w:pPr>
      <w:r>
        <w:t xml:space="preserve">With the privatization of various state-owned entities in Saudi Arabia Jeddah, private sector actors are emerging rapidly. Bankers are increasingly required to provide strategic advice on mergers and acquisitions, capital structuring for new ventures, and wealth management for high-net-worth individuals.</w:t>
      </w:r>
    </w:p>
    <w:bookmarkEnd w:id="26"/>
    <w:bookmarkEnd w:id="27"/>
    <w:bookmarkStart w:id="28" w:name="regulatory-landscape-and-compliance"/>
    <w:p>
      <w:pPr>
        <w:pStyle w:val="Heading2"/>
      </w:pPr>
      <w:r>
        <w:t xml:space="preserve">4. Regulatory Landscape and Compliance</w:t>
      </w:r>
    </w:p>
    <w:p>
      <w:pPr>
        <w:pStyle w:val="FirstParagraph"/>
      </w:pPr>
      <w:r>
        <w:t xml:space="preserve">The regulatory environment in Saudi Arabia is rigorous. The</w:t>
      </w:r>
      <w:r>
        <w:t xml:space="preserve"> </w:t>
      </w:r>
      <w:r>
        <w:rPr>
          <w:bCs/>
          <w:b/>
        </w:rPr>
        <w:t xml:space="preserve">Banker</w:t>
      </w:r>
      <w:r>
        <w:t xml:space="preserve"> </w:t>
      </w:r>
      <w:r>
        <w:t xml:space="preserve">must navigate regulations set by the Saudi Central Bank (SAMA) and the Capital Market Authority (CMA). Key areas of focus include:</w:t>
      </w:r>
    </w:p>
    <w:p>
      <w:pPr>
        <w:numPr>
          <w:ilvl w:val="0"/>
          <w:numId w:val="1002"/>
        </w:numPr>
        <w:pStyle w:val="Compact"/>
      </w:pPr>
      <w:r>
        <w:rPr>
          <w:bCs/>
          <w:b/>
        </w:rPr>
        <w:t xml:space="preserve">Anti-Money Laundering (AML):</w:t>
      </w:r>
      <w:r>
        <w:t xml:space="preserve"> </w:t>
      </w:r>
      <w:r>
        <w:t xml:space="preserve">Strict adherence to international AML standards to protect the integrity of Jeddah’s financial sector.</w:t>
      </w:r>
    </w:p>
    <w:p>
      <w:pPr>
        <w:pStyle w:val="FirstParagraph"/>
      </w:pPr>
      <w:r>
        <w:t xml:space="preserve">Data Privacy: Complying with local data sovereignty laws regarding customer information.</w:t>
      </w:r>
    </w:p>
    <w:p>
      <w:pPr>
        <w:pStyle w:val="BodyText"/>
      </w:pPr>
      <w:r>
        <w:t xml:space="preserve">Credit Risk Management: Implementing robust credit scoring models that account for the specific economic volatility of the Red Sea region.</w:t>
      </w:r>
    </w:p>
    <w:bookmarkEnd w:id="28"/>
    <w:bookmarkStart w:id="29" w:name="challenges-facing-bankers-in-jeddah"/>
    <w:p>
      <w:pPr>
        <w:pStyle w:val="Heading2"/>
      </w:pPr>
      <w:r>
        <w:t xml:space="preserve">5. Challenges Facing Bankers in Jeddah</w:t>
      </w:r>
    </w:p>
    <w:p>
      <w:pPr>
        <w:pStyle w:val="FirstParagraph"/>
      </w:pPr>
      <w:r>
        <w:t xml:space="preserve">Despite opportunities, several challenges persist:</w:t>
      </w:r>
    </w:p>
    <w:p>
      <w:pPr>
        <w:numPr>
          <w:ilvl w:val="0"/>
          <w:numId w:val="1003"/>
        </w:numPr>
        <w:pStyle w:val="Compact"/>
      </w:pPr>
      <w:r>
        <w:rPr>
          <w:bCs/>
          <w:b/>
        </w:rPr>
        <w:t xml:space="preserve">Talent Acquisition:</w:t>
      </w:r>
      <w:r>
        <w:t xml:space="preserve"> </w:t>
      </w:r>
      <w:r>
        <w:t xml:space="preserve">There is a competition for skilled financial professionals who understand both modern finance and Islamic jurisprudence.</w:t>
      </w:r>
    </w:p>
    <w:p>
      <w:pPr>
        <w:pStyle w:val="FirstParagraph"/>
      </w:pPr>
      <w:r>
        <w:t xml:space="preserve">Economic Diversification Risks: The speed of economic change requires bankers to constantly upskill, which can strain institutional resources.</w:t>
      </w:r>
    </w:p>
    <w:p>
      <w:pPr>
        <w:pStyle w:val="BodyText"/>
      </w:pPr>
      <w:r>
        <w:t xml:space="preserve">Cyber Threats: As digital adoption grows, Jeddah’s banks are prime targets for cyberattacks, requiring constant vigilance and investment in security infrastructure.</w:t>
      </w:r>
    </w:p>
    <w:bookmarkEnd w:id="29"/>
    <w:bookmarkStart w:id="30" w:name="conclusion-and-future-outlook"/>
    <w:p>
      <w:pPr>
        <w:pStyle w:val="Heading2"/>
      </w:pPr>
      <w:r>
        <w:t xml:space="preserve">6. Conclusion and Future Outlook</w:t>
      </w:r>
    </w:p>
    <w:p>
      <w:pPr>
        <w:pStyle w:val="FirstParagraph"/>
      </w:pPr>
      <w:r>
        <w:t xml:space="preserve">The role of the</w:t>
      </w:r>
      <w:r>
        <w:t xml:space="preserve"> </w:t>
      </w:r>
      <w:r>
        <w:rPr>
          <w:bCs/>
          <w:b/>
        </w:rPr>
        <w:t xml:space="preserve">Banker</w:t>
      </w:r>
      <w:r>
        <w:t xml:space="preserve"> </w:t>
      </w:r>
      <w:r>
        <w:t xml:space="preserve">in</w:t>
      </w:r>
      <w:r>
        <w:t xml:space="preserve"> </w:t>
      </w:r>
      <w:r>
        <w:rPr>
          <w:bCs/>
          <w:b/>
        </w:rPr>
        <w:t xml:space="preserve">Saudi Arabia Jeddah</w:t>
      </w:r>
      <w:r>
        <w:t xml:space="preserve"> </w:t>
      </w:r>
      <w:r>
        <w:t xml:space="preserve">is undergoing a paradigm shift. No longer passive administrators of capital, they are active participants in nation-building. The successful banker of the future will be a hybrid professional: part financial analyst, part technology expert, and part cultural ambassador.</w:t>
      </w:r>
    </w:p>
    <w:p>
      <w:pPr>
        <w:pStyle w:val="BodyText"/>
      </w:pPr>
      <w:r>
        <w:t xml:space="preserve">As Saudi Arabia Jeddah continues to expand its infrastructure and attract global tourism and business, the demand for sophisticated financial services will only grow. Institutions that empower their bankers with these advanced skills will thrive. It is imperative that banking education and professional development programs in the region align with these emerging needs to ensure sustainable economic growth.</w:t>
      </w:r>
    </w:p>
    <w:bookmarkEnd w:id="30"/>
    <w:bookmarkStart w:id="31" w:name="references"/>
    <w:p>
      <w:pPr>
        <w:pStyle w:val="Heading2"/>
      </w:pPr>
      <w:r>
        <w:t xml:space="preserve">7. References</w:t>
      </w:r>
    </w:p>
    <w:p>
      <w:pPr>
        <w:numPr>
          <w:ilvl w:val="0"/>
          <w:numId w:val="1004"/>
        </w:numPr>
        <w:pStyle w:val="Compact"/>
      </w:pPr>
      <w:r>
        <w:t xml:space="preserve">Saudi Central Bank (SAMA). (2023). *Annual Report on Financial Stability*.</w:t>
      </w:r>
    </w:p>
    <w:p>
      <w:pPr>
        <w:pStyle w:val="FirstParagraph"/>
      </w:pPr>
      <w:r>
        <w:t xml:space="preserve">Vision 2030 Kingdom of Saudi Arabia. (n.d.). *Economic Diversification Strategy*</w:t>
      </w:r>
    </w:p>
    <w:p>
      <w:pPr>
        <w:pStyle w:val="BodyText"/>
      </w:pPr>
      <w:r>
        <w:t xml:space="preserve">Kaplan, R., &amp; Norton, D. (1996). *The Balanced Scorecard: Translating Strategy into Action*. Harvard Business Review Press.</w:t>
      </w:r>
    </w:p>
    <w:p>
      <w:pPr>
        <w:pStyle w:val="BodyText"/>
      </w:pPr>
      <w:r>
        <w:t xml:space="preserve">Islamic Financial Services Board. (2022). *Global Islamic Banking Industry Report*.</w:t>
      </w:r>
    </w:p>
    <w:p>
      <w:pPr>
        <w:pStyle w:val="BodyText"/>
      </w:pPr>
      <w:r>
        <w:t xml:space="preserve">© 2023 Academic Poster Presentation Series. All Rights Reserved.</w:t>
      </w:r>
      <w:r>
        <w:br/>
      </w:r>
      <w:r>
        <w:t xml:space="preserve">Contact: research@kau.edu.sa</w:t>
      </w:r>
      <w:r>
        <w:br/>
      </w:r>
      <w:r>
        <w:t xml:space="preserve">Jeddah, Kingdom of Saudi Arabia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Saudi Arabia Jeddah: A Strategic Analysis</dc:title>
  <dc:creator/>
  <dc:language>en</dc:language>
  <cp:keywords/>
  <dcterms:created xsi:type="dcterms:W3CDTF">2026-07-29T16:08:05Z</dcterms:created>
  <dcterms:modified xsi:type="dcterms:W3CDTF">2026-07-29T16:08:05Z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