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Economic</w:t>
      </w:r>
      <w:r>
        <w:t xml:space="preserve"> </w:t>
      </w:r>
      <w:r>
        <w:t xml:space="preserve">Evolution</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c389f386df7371c52614eadde993b3197cbf526"/>
    <w:p>
      <w:pPr>
        <w:pStyle w:val="Heading1"/>
      </w:pPr>
      <w:r>
        <w:t xml:space="preserve">The Role of the Banker in the Economic Evolution of United Arab Emirates Abu Dhabi</w:t>
      </w:r>
    </w:p>
    <w:p>
      <w:pPr>
        <w:pStyle w:val="FirstParagraph"/>
      </w:pPr>
      <w:r>
        <w:t xml:space="preserve">// Title clearly states "Poster Presentation academic" theme, "Banker" role, and "United Arab Emirates Abu Dhabi" location.</w:t>
      </w:r>
    </w:p>
    <w:bookmarkEnd w:id="20"/>
    <w:p>
      <w:pPr>
        <w:pStyle w:val="BodyText"/>
      </w:pPr>
      <w:r>
        <w:rPr>
          <w:bCs/>
          <w:b/>
        </w:rPr>
        <w:t xml:space="preserve">Presenter:</w:t>
      </w:r>
      <w:r>
        <w:t xml:space="preserve"> </w:t>
      </w:r>
      <w:r>
        <w:t xml:space="preserve">[Your Name/Research Team]</w:t>
      </w:r>
      <w:r>
        <w:br/>
      </w:r>
      <w:r>
        <w:t xml:space="preserve">// Placeholder for standard academic poster attribution.</w:t>
      </w:r>
      <w:r>
        <w:t xml:space="preserve"> </w:t>
      </w:r>
      <w:r>
        <w:rPr>
          <w:iCs/>
          <w:i/>
        </w:rPr>
        <w:t xml:space="preserve">Institutional Affiliation:</w:t>
      </w:r>
      <w:r>
        <w:t xml:space="preserve"> </w:t>
      </w:r>
      <w:r>
        <w:t xml:space="preserve">Center for Financial Innovation and Development</w:t>
      </w:r>
      <w:r>
        <w:br/>
      </w:r>
      <w:r>
        <w:t xml:space="preserve">// Simulated affiliation relevant to United Arab Emirates Abu Dhabi research context.</w:t>
      </w:r>
    </w:p>
    <w:bookmarkStart w:id="21" w:name="abstract"/>
    <w:p>
      <w:pPr>
        <w:pStyle w:val="Heading3"/>
      </w:pPr>
      <w:r>
        <w:t xml:space="preserve">Abstract</w:t>
      </w:r>
    </w:p>
    <w:p>
      <w:pPr>
        <w:pStyle w:val="FirstParagraph"/>
      </w:pPr>
      <w:r>
        <w:t xml:space="preserve">This research explores the transformative role of the</w:t>
      </w:r>
      <w:r>
        <w:t xml:space="preserve"> </w:t>
      </w:r>
      <w:r>
        <w:rPr>
          <w:bCs/>
          <w:b/>
        </w:rPr>
        <w:t xml:space="preserve">Banker</w:t>
      </w:r>
      <w:r>
        <w:t xml:space="preserve"> </w:t>
      </w:r>
      <w:r>
        <w:t xml:space="preserve">within the dynamic economic landscape of</w:t>
      </w:r>
      <w:r>
        <w:t xml:space="preserve"> </w:t>
      </w:r>
      <w:r>
        <w:rPr>
          <w:bCs/>
          <w:b/>
        </w:rPr>
        <w:t xml:space="preserve">United Arab Emirates Abu Dhabi</w:t>
      </w:r>
      <w:r>
        <w:t xml:space="preserve">. As a leading financial hub in the Middle East, Abu Dhabi has witnessed significant shifts driven by visionary leadership and strategic banking reforms. This academic poster presents an analysis of how bankers—defined as both traditional commercial bank professionals and modern fintech innovators—have facilitated economic diversification away from hydrocarbon reliance. The study examines regulatory frameworks established by the Central Bank of the United Arab Emirates, focusing on Abu Dhabi Global Market (ADGM) initiatives that empower bankers to engage in global capital markets. By evaluating case studies of major financial institutions operating within United Arab Emirates Abu Dhabi, this poster highlights key trends in sustainable finance, digital transformation, and SME support. The findings suggest that the adaptive capacity of the banking sector is a primary catalyst for Abu Dhabi’s continued economic resilience and growth on the global stage.</w:t>
      </w:r>
    </w:p>
    <w:bookmarkEnd w:id="21"/>
    <w:bookmarkStart w:id="22" w:name="X1f6e07901e4d03d0e7af2e97a7f31c1bcd3da63"/>
    <w:p>
      <w:pPr>
        <w:pStyle w:val="Heading2"/>
      </w:pPr>
      <w:r>
        <w:t xml:space="preserve">Introduction: The Financial Backbone of United Arab Emirates Abu Dhabi</w:t>
      </w:r>
    </w:p>
    <w:p>
      <w:pPr>
        <w:pStyle w:val="FirstParagraph"/>
      </w:pPr>
      <w:r>
        <w:t xml:space="preserve">The economic architecture of</w:t>
      </w:r>
      <w:r>
        <w:t xml:space="preserve"> </w:t>
      </w:r>
      <w:r>
        <w:rPr>
          <w:bCs/>
          <w:b/>
        </w:rPr>
        <w:t xml:space="preserve">United Arab Emirates Abu Dhabi</w:t>
      </w:r>
      <w:r>
        <w:t xml:space="preserve"> </w:t>
      </w:r>
      <w:r>
        <w:t xml:space="preserve">stands as a testament to strategic foresight and financial innovation. At the heart of this transformation is the professional figure of the</w:t>
      </w:r>
      <w:r>
        <w:t xml:space="preserve"> </w:t>
      </w:r>
      <w:r>
        <w:rPr>
          <w:bCs/>
          <w:b/>
        </w:rPr>
        <w:t xml:space="preserve">Banker</w:t>
      </w:r>
      <w:r>
        <w:t xml:space="preserve">. Traditionally viewed merely as custodians of capital, modern bankers in United Arab Emirates Abu Dhabi have evolved into architects of economic policy, facilitators of international trade, and drivers of technological adoption. This poster presentation aims to dissect these multifaceted roles within the specific socio-economic context of United Arab Emirates Abu Dhabi.</w:t>
      </w:r>
    </w:p>
    <w:p>
      <w:pPr>
        <w:pStyle w:val="BodyText"/>
      </w:pPr>
      <w:r>
        <w:t xml:space="preserve">Abu Dhabi, as the capital emirate, holds over 90% of the nation's oil reserves, yet its future viability depends on robust non-oil sectors. The banker plays a pivotal role in bridging the gap between sovereign wealth investments and private sector growth. In United Arab Emirates Abu Dhabi, this involves navigating complex regulatory environments while fostering an environment conducive to both local entrepreneurship and foreign direct investment.</w:t>
      </w:r>
    </w:p>
    <w:bookmarkEnd w:id="22"/>
    <w:bookmarkStart w:id="23" w:name="X0390ea655ebd1604b7753e9a9691e4f7574a6d7"/>
    <w:p>
      <w:pPr>
        <w:pStyle w:val="Heading2"/>
      </w:pPr>
      <w:r>
        <w:t xml:space="preserve">Strategic Pillars: Where the Banker Adds Value</w:t>
      </w:r>
    </w:p>
    <w:p>
      <w:pPr>
        <w:numPr>
          <w:ilvl w:val="0"/>
          <w:numId w:val="1001"/>
        </w:numPr>
        <w:pStyle w:val="Compact"/>
      </w:pPr>
      <w:r>
        <w:rPr>
          <w:bCs/>
          <w:b/>
        </w:rPr>
        <w:t xml:space="preserve">Digital Transformation and Fintech Integration:</w:t>
      </w:r>
      <w:r>
        <w:t xml:space="preserve"> </w:t>
      </w:r>
      <w:r>
        <w:t xml:space="preserve">In United Arab Emirates Abu Dhabi, bankers are at the forefront of adopting blockchain, artificial intelligence, and open banking APIs. The ADGM’s regulatory sandbox allows bankers to test innovative financial products without the friction of traditional constraints. This accelerates service delivery for residents and businesses in United Arab Emirates Abu Dhabi.</w:t>
      </w:r>
    </w:p>
    <w:p>
      <w:pPr>
        <w:numPr>
          <w:ilvl w:val="0"/>
          <w:numId w:val="1001"/>
        </w:numPr>
        <w:pStyle w:val="Compact"/>
      </w:pPr>
      <w:r>
        <w:rPr>
          <w:bCs/>
          <w:b/>
        </w:rPr>
        <w:t xml:space="preserve">Sustainable Finance and ESG:</w:t>
      </w:r>
      <w:r>
        <w:t xml:space="preserve"> </w:t>
      </w:r>
      <w:r>
        <w:t xml:space="preserve">Aligning with global standards, bankers in United Arab Emirates Abu Dhabi are increasingly financing green projects. From solar energy initiatives to sustainable real estate developments, the banker acts as a gatekeeper for Environmental, Social, and Governance (ESG) criteria. This aligns directly with United Arab Emirates Abu Dhabi’s net-zero strategy by 2050.</w:t>
      </w:r>
    </w:p>
    <w:p>
      <w:pPr>
        <w:numPr>
          <w:ilvl w:val="0"/>
          <w:numId w:val="1001"/>
        </w:numPr>
        <w:pStyle w:val="Compact"/>
      </w:pPr>
      <w:r>
        <w:rPr>
          <w:bCs/>
          <w:b/>
        </w:rPr>
        <w:t xml:space="preserve">SME Empowerment:</w:t>
      </w:r>
      <w:r>
        <w:t xml:space="preserve"> </w:t>
      </w:r>
      <w:r>
        <w:t xml:space="preserve">Small and Medium Enterprises (SMEs) are the engine of job creation in United Arab Emirates Abu Dhabi. Bankers provide crucial credit facilities, trade finance, and advisory services to these entities. By mitigating risk through sophisticated credit scoring models tailored to the local market in United Arab Emirates Abu Dhabi, bankers enable SMEs to scale globally.</w:t>
      </w:r>
    </w:p>
    <w:p>
      <w:pPr>
        <w:numPr>
          <w:ilvl w:val="0"/>
          <w:numId w:val="1001"/>
        </w:numPr>
        <w:pStyle w:val="Compact"/>
      </w:pPr>
      <w:r>
        <w:rPr>
          <w:bCs/>
          <w:b/>
        </w:rPr>
        <w:t xml:space="preserve">Wealth Management and Private Banking:</w:t>
      </w:r>
      <w:r>
        <w:t xml:space="preserve"> </w:t>
      </w:r>
      <w:r>
        <w:t xml:space="preserve">Given the high-net-worth demographic in United Arab Emirates Abu Dhabi, private bankers offer bespoke investment solutions that channel local capital into global markets and back into United Arab Emirates Abu Dhabi infrastructure projects, creating a virtuous cycle of wealth.</w:t>
      </w:r>
    </w:p>
    <w:bookmarkEnd w:id="23"/>
    <w:bookmarkStart w:id="24" w:name="Xe4246719273ee80d3a3b25cb8a7634248348e0f"/>
    <w:p>
      <w:pPr>
        <w:pStyle w:val="Heading2"/>
      </w:pPr>
      <w:r>
        <w:t xml:space="preserve">Navigating the Regulatory Landscape in United Arab Emirates Abu Dhabi</w:t>
      </w:r>
    </w:p>
    <w:p>
      <w:pPr>
        <w:pStyle w:val="FirstParagraph"/>
      </w:pPr>
      <w:r>
        <w:t xml:space="preserve">The success of any banker operating in United Arab Emirates Abu Dhabi is heavily influenced by the robustness of its regulatory framework. The Central Bank of the United Arab Emirates works in tandem with specialized free zones like ADGM to create a harmonized yet flexible legal environment.</w:t>
      </w:r>
    </w:p>
    <w:p>
      <w:pPr>
        <w:pStyle w:val="BodyText"/>
      </w:pPr>
      <w:r>
        <w:t xml:space="preserve">Key challenges include compliance with Anti-Money Laundering (AML) and Combating the Financing of Terrorism (CFT) regulations, which are stringent in United Arab Emirates Abu Dhabi to maintain international credibility. Furthermore, bankers must adapt to rapid changes in international sanctions regimes and cross-border payment systems. The ability of a banker to interpret these regulations while maintaining business agility is a critical skill set highlighted in this academic analysis.</w:t>
      </w:r>
    </w:p>
    <w:bookmarkEnd w:id="24"/>
    <w:bookmarkStart w:id="27" w:name="X7f4cf8b73f1a46a2b948e39dcb25dd47aa33642"/>
    <w:p>
      <w:pPr>
        <w:pStyle w:val="Heading2"/>
      </w:pPr>
      <w:r>
        <w:t xml:space="preserve">Future Outlook: The Next Generation of the Banker</w:t>
      </w:r>
    </w:p>
    <w:p>
      <w:pPr>
        <w:pStyle w:val="FirstParagraph"/>
      </w:pPr>
      <w:r>
        <w:t xml:space="preserve">Looking ahead, the definition of a banker in United Arab Emirates Abu Dhabi will continue to expand. With initiatives like Project Union and broader economic integration across the Gulf Cooperation Council (GCC), bankers will need to possess cross-border expertise. The integration of digital assets into mainstream banking portfolios is expected, requiring bankers in United Arab Emirates Abu Dhabi to become proficient in cryptocurrency regulations and digital currency infrastructure.</w:t>
      </w:r>
    </w:p>
    <w:p>
      <w:pPr>
        <w:pStyle w:val="BodyText"/>
      </w:pPr>
      <w:r>
        <w:t xml:space="preserve">Moreover, the human capital aspect remains vital. Education programs in United Arab Emirates Abu Dhabi are increasingly focusing on financial literacy and advanced banking technologies to prepare the next generation of bankers. This investment in human capital ensures that United Arab Emirates Abu Dhabi remains competitive globally.</w:t>
      </w:r>
    </w:p>
    <w:bookmarkStart w:id="25" w:name="conclusion"/>
    <w:p>
      <w:pPr>
        <w:pStyle w:val="Heading3"/>
      </w:pPr>
      <w:r>
        <w:t xml:space="preserve">Conclusion</w:t>
      </w:r>
    </w:p>
    <w:p>
      <w:pPr>
        <w:pStyle w:val="FirstParagraph"/>
      </w:pPr>
      <w:r>
        <w:t xml:space="preserve">In summary, the banker serves as an indispensable agent of change and stability within</w:t>
      </w:r>
      <w:r>
        <w:t xml:space="preserve"> </w:t>
      </w:r>
      <w:r>
        <w:rPr>
          <w:bCs/>
          <w:b/>
        </w:rPr>
        <w:t xml:space="preserve">United Arab Emirates Abu Dhabi</w:t>
      </w:r>
      <w:r>
        <w:t xml:space="preserve">. Through digital innovation, sustainable financing, and rigorous risk management, bankers are not only preserving the economic gains achieved by hydrocarbon wealth but are actively diversifying the foundation of United Arab Emirates Abu Dhabi’s economy. For stakeholders in United Arab Emirates Abu Dhabi, understanding the evolving role of the banker is crucial for anticipating future economic trends. This poster presentation underscores that a skilled, adaptive, and forward-thinking banking sector is paramount to securing United Arab Emirates Abu Dhabi’s status as a premier global financial center.</w:t>
      </w:r>
    </w:p>
    <w:bookmarkEnd w:id="25"/>
    <w:bookmarkStart w:id="26" w:name="references"/>
    <w:p>
      <w:pPr>
        <w:pStyle w:val="Heading3"/>
      </w:pPr>
      <w:r>
        <w:t xml:space="preserve">References</w:t>
      </w:r>
    </w:p>
    <w:p>
      <w:pPr>
        <w:numPr>
          <w:ilvl w:val="0"/>
          <w:numId w:val="1002"/>
        </w:numPr>
        <w:pStyle w:val="Compact"/>
      </w:pPr>
      <w:r>
        <w:t xml:space="preserve">Central Bank of the United Arab Emirates (2023). *Annual Report on Financial Stability*. Abu Dhabi: CBUE.</w:t>
      </w:r>
    </w:p>
    <w:p>
      <w:pPr>
        <w:numPr>
          <w:ilvl w:val="0"/>
          <w:numId w:val="1002"/>
        </w:numPr>
        <w:pStyle w:val="Compact"/>
      </w:pPr>
      <w:r>
        <w:t xml:space="preserve">Abu Dhabi Global Market (ADGM) Authority (2023). *Regulatory Frameworks and Fintech Sandboxes*. London/Abu Dhabi: ADGM.</w:t>
      </w:r>
    </w:p>
    <w:p>
      <w:pPr>
        <w:numPr>
          <w:ilvl w:val="0"/>
          <w:numId w:val="1002"/>
        </w:numPr>
        <w:pStyle w:val="Compact"/>
      </w:pPr>
      <w:r>
        <w:t xml:space="preserve">International Monetary Fund (IMF) Country Report No. 23/150 (2023). *United Arab Emirates: Selected Issues*. Washington, D.C.: IMF.</w:t>
      </w:r>
    </w:p>
    <w:p>
      <w:pPr>
        <w:numPr>
          <w:ilvl w:val="0"/>
          <w:numId w:val="1002"/>
        </w:numPr>
        <w:pStyle w:val="Compact"/>
      </w:pPr>
      <w:r>
        <w:t xml:space="preserve">Al-Mashari, M., &amp; Al-Subaie, S. (2022). *Digital Transformation in Gulf Banking Sectors: A Case Study of United Arab Emirates*. Journal of Middle East Business and Economics.</w:t>
      </w:r>
    </w:p>
    <w:p>
      <w:pPr>
        <w:numPr>
          <w:ilvl w:val="0"/>
          <w:numId w:val="1002"/>
        </w:numPr>
        <w:pStyle w:val="Compact"/>
      </w:pPr>
      <w:r>
        <w:t xml:space="preserve">Emirates Bureau for Standardization and Metrology (ESMA) (2023). *Guidelines on Sustainable Finance Disclosure*. Abu Dhabi: ESMA.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the Economic Evolution of United Arab Emirates Abu Dhabi</dc:title>
  <dc:creator/>
  <dc:language>en</dc:language>
  <cp:keywords/>
  <dcterms:created xsi:type="dcterms:W3CDTF">2026-07-29T19:52:20Z</dcterms:created>
  <dcterms:modified xsi:type="dcterms:W3CDTF">2026-07-29T19:52:20Z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