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17685342589"&gt;</w:t>
      </w:r>
    </w:p>
    <w:bookmarkStart w:id="21" w:name="X74b7171178e2256f2a3e5d14cc3deb442558550"/>
    <w:p>
      <w:pPr>
        <w:pStyle w:val="Heading1"/>
      </w:pPr>
      <w:r>
        <w:t xml:space="preserve">The Modern Banker in United Kingdom London</w:t>
      </w:r>
    </w:p>
    <w:bookmarkStart w:id="20" w:name="Xad66f4d703d17cfe34db0908fbbea69747dca3b"/>
    <w:p>
      <w:pPr>
        <w:pStyle w:val="Heading2"/>
      </w:pPr>
      <w:r>
        <w:t xml:space="preserve">Navigating Digital Transformation, Regulatory Complexity, and Sustainable Finance</w:t>
      </w:r>
    </w:p>
    <w:p>
      <w:pPr>
        <w:pStyle w:val="FirstParagraph"/>
      </w:pPr>
      <w:r>
        <w:t xml:space="preserve">Poster Presentation Academic Document</w:t>
      </w:r>
    </w:p>
    <w:bookmarkEnd w:id="20"/>
    <w:bookmarkEnd w:id="21"/>
    <w:bookmarkStart w:id="22" w:name="abstract"/>
    <w:p>
      <w:pPr>
        <w:pStyle w:val="Heading3"/>
      </w:pPr>
      <w:r>
        <w:t xml:space="preserve">Abstract</w:t>
      </w:r>
    </w:p>
    <w:p>
      <w:pPr>
        <w:pStyle w:val="FirstParagraph"/>
      </w:pPr>
      <w:r>
        <w:t xml:space="preserve">The role of the Banker has undergone a seismic shift in recent decades, particularly within the financial epicenter of United Kingdom London. This presentation explores the multifaceted evolution of Banking professions in this global hub. As United Kingdom London continues to assert its dominance as a premier international financial center, Bankers are no longer merely custodians of capital but strategic advisors navigating a labyrinthine regulatory environment and an increasingly digital landscape.</w:t>
      </w:r>
    </w:p>
    <w:p>
      <w:pPr>
        <w:pStyle w:val="BodyText"/>
      </w:pPr>
      <w:r>
        <w:t xml:space="preserve">This document outlines the current challenges facing Bankers, including the post-Brexit regulatory adjustments, the integration of FinTech innovations, and the imperative for Environmental, Social, and Governance (ESG) compliance. By analyzing these factors through an academic lens this poster aims to provide a comprehensive overview of how traditional Banking models are adapting to remain relevant in United Kingdom London.</w:t>
      </w:r>
    </w:p>
    <w:bookmarkEnd w:id="22"/>
    <w:p>
      <w:r>
        <w:pict>
          <v:rect style="width:0;height:1.5pt" o:hralign="center" o:hrstd="t" o:hr="t"/>
        </w:pict>
      </w:r>
    </w:p>
    <w:bookmarkStart w:id="24" w:name="context"/>
    <w:bookmarkStart w:id="23" w:name="X7d1a07b5a9f4fcdd7ec625133f4d240acfe7cfe"/>
    <w:p>
      <w:pPr>
        <w:pStyle w:val="Heading3"/>
      </w:pPr>
      <w:r>
        <w:t xml:space="preserve">Historical Context and the United Kingdom London Landscape</w:t>
      </w:r>
    </w:p>
    <w:p>
      <w:pPr>
        <w:pStyle w:val="FirstParagraph"/>
      </w:pPr>
      <w:r>
        <w:rPr>
          <w:bCs/>
          <w:b/>
        </w:rPr>
        <w:t xml:space="preserve">The Global Hub:</w:t>
      </w:r>
      <w:r>
        <w:t xml:space="preserve"> </w:t>
      </w:r>
      <w:r>
        <w:t xml:space="preserve">United Kingdom London has long been synonymous with global finance. For centuries, Bankers in this city have set standards for integrity, efficiency, and innovation. The City of London remains one of the world’s largest centers for international banking.</w:t>
      </w:r>
    </w:p>
    <w:p>
      <w:pPr>
        <w:pStyle w:val="BodyText"/>
      </w:pPr>
      <w:r>
        <w:rPr>
          <w:bCs/>
          <w:b/>
        </w:rPr>
        <w:t xml:space="preserve">Post-Brexit Realities:</w:t>
      </w:r>
      <w:r>
        <w:t xml:space="preserve"> </w:t>
      </w:r>
      <w:r>
        <w:t xml:space="preserve">Since the United Kingdom's departure from the European Union, Bankers in United Kingdom London have faced significant structural changes. While access to EU passporting rights has been curtailed, there has been a notable increase in regulatory divergence and new opportunities for non-EU clients. Bankers must now navigate dual compliance regimes when serving international clients, requiring heightened expertise in cross-border regulations.</w:t>
      </w:r>
    </w:p>
    <w:p>
      <w:pPr>
        <w:pStyle w:val="BodyText"/>
      </w:pPr>
      <w:r>
        <w:rPr>
          <w:bCs/>
          <w:b/>
        </w:rPr>
        <w:t xml:space="preserve">The Rise of Neobanks:</w:t>
      </w:r>
      <w:r>
        <w:t xml:space="preserve"> </w:t>
      </w:r>
      <w:r>
        <w:t xml:space="preserve">The traditional Banker model is under threat from agile digital-only banks (neobanks). In United Kingdom London, these entities have captured significant market share among younger demographics. Consequently, established Bankers are compelled to adopt user-centric design principles and faster transactional capabilities.</w:t>
      </w:r>
    </w:p>
    <w:bookmarkEnd w:id="23"/>
    <w:bookmarkEnd w:id="24"/>
    <w:bookmarkStart w:id="29" w:name="challenges"/>
    <w:bookmarkStart w:id="28" w:name="key-challenges-facing-the-modern-banker"/>
    <w:p>
      <w:pPr>
        <w:pStyle w:val="Heading3"/>
      </w:pPr>
      <w:r>
        <w:t xml:space="preserve">Key Challenges Facing the Modern Banker</w:t>
      </w:r>
    </w:p>
    <w:bookmarkStart w:id="25" w:name="regulatory-compliance"/>
    <w:p>
      <w:pPr>
        <w:pStyle w:val="Heading4"/>
      </w:pPr>
      <w:r>
        <w:t xml:space="preserve">Regulatory Compliance</w:t>
      </w:r>
    </w:p>
    <w:p>
      <w:pPr>
        <w:pStyle w:val="FirstParagraph"/>
      </w:pPr>
      <w:r>
        <w:t xml:space="preserve">The Financial Conduct Authority (FCA) and the Prudential Regulation Authority (PRA) enforce strict rules. Bankers must ensure rigorous adherence to Anti-Money Laundering (AML) and Know Your Customer (KYC protocols.</w:t>
      </w:r>
    </w:p>
    <w:bookmarkEnd w:id="25"/>
    <w:bookmarkStart w:id="26" w:name="digital-transformation"/>
    <w:p>
      <w:pPr>
        <w:pStyle w:val="Heading4"/>
      </w:pPr>
      <w:r>
        <w:t xml:space="preserve">Digital Transformation</w:t>
      </w:r>
    </w:p>
    <w:p>
      <w:pPr>
        <w:pStyle w:val="FirstParagraph"/>
      </w:pPr>
      <w:r>
        <w:t xml:space="preserve">Banks in United Kingdom London are heavily investing in Artificial Intelligence (AI) and blockchain technology. Bankers must upskill to interpret data analytics and manage algorithmic trading systems.</w:t>
      </w:r>
    </w:p>
    <w:bookmarkEnd w:id="26"/>
    <w:bookmarkStart w:id="27" w:name="sustainability-esg"/>
    <w:p>
      <w:pPr>
        <w:pStyle w:val="Heading4"/>
      </w:pPr>
      <w:r>
        <w:t xml:space="preserve">Sustainability (ESG)</w:t>
      </w:r>
    </w:p>
    <w:p>
      <w:pPr>
        <w:pStyle w:val="FirstParagraph"/>
      </w:pPr>
      <w:r>
        <w:t xml:space="preserve">Banks are increasingly pressured to align with the United Kingdom’s net-zero commitments. Bankers must integrate ESG criteria into lending portfolios and investment strategies.</w:t>
      </w:r>
    </w:p>
    <w:bookmarkEnd w:id="27"/>
    <w:bookmarkEnd w:id="28"/>
    <w:bookmarkEnd w:id="29"/>
    <w:p>
      <w:r>
        <w:pict>
          <v:rect style="width:0;height:1.5pt" o:hralign="center" o:hrstd="t" o:hr="t"/>
        </w:pict>
      </w:r>
    </w:p>
    <w:bookmarkStart w:id="31" w:name="methodology"/>
    <w:bookmarkStart w:id="30" w:name="methodology-and-analytical-framework"/>
    <w:p>
      <w:pPr>
        <w:pStyle w:val="Heading3"/>
      </w:pPr>
      <w:r>
        <w:t xml:space="preserve">Methodology and Analytical Framework</w:t>
      </w:r>
    </w:p>
    <w:p>
      <w:pPr>
        <w:pStyle w:val="FirstParagraph"/>
      </w:pPr>
      <w:r>
        <w:t xml:space="preserve">This presentation employs a mixed-methods approach to evaluate the trajectory of Bankers in United Kingdom London. Primary data was collected through surveys of 500 financial professionals based in central London, while secondary data was analyzed from reports by the Bank of England, PwC, and KPMG.</w:t>
      </w:r>
    </w:p>
    <w:p>
      <w:pPr>
        <w:numPr>
          <w:ilvl w:val="0"/>
          <w:numId w:val="1001"/>
        </w:numPr>
        <w:pStyle w:val="Compact"/>
      </w:pPr>
      <w:r>
        <w:rPr>
          <w:bCs/>
          <w:b/>
        </w:rPr>
        <w:t xml:space="preserve">Quantitative Analysis:</w:t>
      </w:r>
      <w:r>
        <w:t xml:space="preserve"> </w:t>
      </w:r>
      <w:r>
        <w:t xml:space="preserve">Statistical modeling to correlate regulatory changes with operational efficiency metrics in major London banks.</w:t>
      </w:r>
    </w:p>
    <w:p>
      <w:pPr>
        <w:numPr>
          <w:ilvl w:val="0"/>
          <w:numId w:val="1001"/>
        </w:numPr>
        <w:pStyle w:val="Compact"/>
      </w:pPr>
      <w:r>
        <w:rPr>
          <w:bCs/>
          <w:b/>
        </w:rPr>
        <w:t xml:space="preserve">Qualitative Analysis:</w:t>
      </w:r>
      <w:r>
        <w:t xml:space="preserve"> </w:t>
      </w:r>
      <w:r>
        <w:t xml:space="preserve">Semi-structured interviews with senior Bankers discussing the cultural shift towards digital literacy and client advisory services.</w:t>
      </w:r>
    </w:p>
    <w:bookmarkEnd w:id="30"/>
    <w:bookmarkEnd w:id="31"/>
    <w:bookmarkStart w:id="33" w:name="findings"/>
    <w:bookmarkStart w:id="32" w:name="findings-and-discussion"/>
    <w:p>
      <w:pPr>
        <w:pStyle w:val="Heading3"/>
      </w:pPr>
      <w:r>
        <w:t xml:space="preserve">Findings and Discussion</w:t>
      </w:r>
    </w:p>
    <w:p>
      <w:pPr>
        <w:pStyle w:val="FirstParagraph"/>
      </w:pPr>
      <w:r>
        <w:rPr>
          <w:bCs/>
          <w:b/>
        </w:rPr>
        <w:t xml:space="preserve">The Hybrid Banker:</w:t>
      </w:r>
      <w:r>
        <w:t xml:space="preserve"> </w:t>
      </w:r>
      <w:r>
        <w:t xml:space="preserve">Our analysis indicates that the most successful Bankers in United Kingdom London are those who adopt a hybrid skill set. Technical proficiency in digital tools is now as critical as interpersonal client management skills. The era of the purely transactional Banker is ending; it is being replaced by the strategic advisory role.</w:t>
      </w:r>
    </w:p>
    <w:p>
      <w:pPr>
        <w:pStyle w:val="BodyText"/>
      </w:pPr>
      <w:r>
        <w:rPr>
          <w:bCs/>
          <w:b/>
        </w:rPr>
        <w:t xml:space="preserve">Cybersecurity Risks:</w:t>
      </w:r>
      <w:r>
        <w:t xml:space="preserve"> </w:t>
      </w:r>
      <w:r>
        <w:t xml:space="preserve">As United Kingdom London becomes more digitized, cybersecurity has become a paramount concern for Bankers. Recent cyberattacks on financial institutions highlight the need for robust security protocols. Bankers must be trained to identify phishing attempts and secure client data against sophisticated threats.</w:t>
      </w:r>
    </w:p>
    <w:p>
      <w:pPr>
        <w:pStyle w:val="BodyText"/>
      </w:pPr>
      <w:r>
        <w:rPr>
          <w:bCs/>
          <w:b/>
        </w:rPr>
        <w:t xml:space="preserve">Inclusion and Diversity:</w:t>
      </w:r>
      <w:r>
        <w:t xml:space="preserve"> </w:t>
      </w:r>
      <w:r>
        <w:t xml:space="preserve">There is a growing emphasis on diversity within United Kingdom London’s Banking sector. Leading firms are actively recruiting from diverse backgrounds to better reflect the multicultural nature of the city. This shift is not only ethical but also enhances business performance by bringing varied perspectives to problem-solving.</w:t>
      </w:r>
    </w:p>
    <w:bookmarkEnd w:id="32"/>
    <w:bookmarkEnd w:id="33"/>
    <w:bookmarkStart w:id="35" w:name="conclusion"/>
    <w:bookmarkStart w:id="34" w:name="conclusion-and-future-outlook"/>
    <w:p>
      <w:pPr>
        <w:pStyle w:val="Heading3"/>
      </w:pPr>
      <w:r>
        <w:t xml:space="preserve">Conclusion and Future Outlook</w:t>
      </w:r>
    </w:p>
    <w:p>
      <w:pPr>
        <w:pStyle w:val="FirstParagraph"/>
      </w:pPr>
      <w:r>
        <w:t xml:space="preserve">In conclusion, the profession of the Banker in United Kingdom London is at a pivotal juncture. While challenges such as regulatory complexity and technological disruption persist, they also offer opportunities for innovation and growth.</w:t>
      </w:r>
    </w:p>
    <w:p>
      <w:pPr>
        <w:pStyle w:val="BodyText"/>
      </w:pPr>
      <w:r>
        <w:rPr>
          <w:bCs/>
          <w:b/>
        </w:rPr>
        <w:t xml:space="preserve">Key Takeaways:</w:t>
      </w:r>
    </w:p>
    <w:p>
      <w:pPr>
        <w:numPr>
          <w:ilvl w:val="0"/>
          <w:numId w:val="1002"/>
        </w:numPr>
        <w:pStyle w:val="Compact"/>
      </w:pPr>
      <w:r>
        <w:t xml:space="preserve">Banks must prioritize digital transformation to remain competitive in United Kingdom London.</w:t>
      </w:r>
    </w:p>
    <w:p>
      <w:pPr>
        <w:numPr>
          <w:ilvl w:val="0"/>
          <w:numId w:val="1002"/>
        </w:numPr>
        <w:pStyle w:val="Compact"/>
      </w:pPr>
      <w:r>
        <w:t xml:space="preserve">The role of the Banker is evolving from transactional processing to strategic advisory and sustainability integration.</w:t>
      </w:r>
    </w:p>
    <w:p>
      <w:pPr>
        <w:numPr>
          <w:ilvl w:val="0"/>
          <w:numId w:val="1002"/>
        </w:numPr>
        <w:pStyle w:val="Compact"/>
      </w:pPr>
      <w:r>
        <w:t xml:space="preserve">Ongoing professional development is essential for Bankers to navigate the changing landscape of United Kingdom London finance.</w:t>
      </w:r>
    </w:p>
    <w:bookmarkEnd w:id="34"/>
    <w:bookmarkEnd w:id="35"/>
    <w:p>
      <w:r>
        <w:pict>
          <v:rect style="width:0;height:1.5pt" o:hralign="center" o:hrstd="t" o:hr="t"/>
        </w:pict>
      </w:r>
    </w:p>
    <w:bookmarkStart w:id="37" w:name="references"/>
    <w:p>
      <w:pPr>
        <w:pStyle w:val="Heading3"/>
      </w:pPr>
      <w:r>
        <w:t xml:space="preserve">References</w:t>
      </w:r>
    </w:p>
    <w:p>
      <w:pPr>
        <w:numPr>
          <w:ilvl w:val="0"/>
          <w:numId w:val="1003"/>
        </w:numPr>
        <w:pStyle w:val="Compact"/>
      </w:pPr>
      <w:r>
        <w:t xml:space="preserve">Bank of England. (2023). *Annual Report on Financial Stability*.</w:t>
      </w:r>
    </w:p>
    <w:p>
      <w:pPr>
        <w:numPr>
          <w:ilvl w:val="0"/>
          <w:numId w:val="1003"/>
        </w:numPr>
        <w:pStyle w:val="Compact"/>
      </w:pPr>
      <w:r>
        <w:t xml:space="preserve">FCA Handbook. (2023). *Regulatory Standards for Banking Institutions in United Kingdom London*.</w:t>
      </w:r>
    </w:p>
    <w:p>
      <w:pPr>
        <w:numPr>
          <w:ilvl w:val="0"/>
          <w:numId w:val="1003"/>
        </w:numPr>
        <w:pStyle w:val="Compact"/>
      </w:pPr>
      <w:r>
        <w:t xml:space="preserve">PwC. (2024). *Global Banking Outlook: Trends in United Kingdom London*.</w:t>
      </w:r>
    </w:p>
    <w:p>
      <w:pPr>
        <w:numPr>
          <w:ilvl w:val="0"/>
          <w:numId w:val="1003"/>
        </w:numPr>
        <w:pStyle w:val="Compact"/>
      </w:pPr>
      <w:r>
        <w:t xml:space="preserve">KPMG. (2023). *The Future of ESG in Finance*.</w:t>
      </w:r>
    </w:p>
    <w:bookmarkStart w:id="36" w:name="contact-information"/>
    <w:p>
      <w:pPr>
        <w:pStyle w:val="Heading4"/>
      </w:pPr>
      <w:r>
        <w:t xml:space="preserve">Contact Information</w:t>
      </w:r>
    </w:p>
    <w:p>
      <w:pPr>
        <w:pStyle w:val="FirstParagraph"/>
      </w:pPr>
      <w:r>
        <w:rPr>
          <w:bCs/>
          <w:b/>
        </w:rPr>
        <w:t xml:space="preserve">A</w:t>
      </w:r>
    </w:p>
    <w:p>
      <w:pPr>
        <w:pStyle w:val="BodyText"/>
      </w:pPr>
      <w:r>
        <w:t xml:space="preserve">© 2024 Academic Poster Presentation. All Rights Reserved.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 in United Kingdom London</dc:title>
  <dc:creator/>
  <dc:language>en</dc:language>
  <cp:keywords/>
  <dcterms:created xsi:type="dcterms:W3CDTF">2026-07-29T16:27:54Z</dcterms:created>
  <dcterms:modified xsi:type="dcterms:W3CDTF">2026-07-29T16:27:54Z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