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72d4b5c723e782260ed9b345ad2226f71c5da82"/>
    <w:p>
      <w:pPr>
        <w:pStyle w:val="Heading1"/>
      </w:pPr>
      <w:r>
        <w:t xml:space="preserve">The Modern Banker in the Global South Florida Hub:</w:t>
      </w:r>
      <w:r>
        <w:br/>
      </w:r>
      <w:r>
        <w:t xml:space="preserve">Strategic Adaptation in United States Miami</w:t>
      </w:r>
    </w:p>
    <w:p>
      <w:pPr>
        <w:pStyle w:val="FirstParagraph"/>
      </w:pPr>
      <w:r>
        <w:rPr>
          <w:bCs/>
          <w:b/>
        </w:rPr>
        <w:t xml:space="preserve">Presentation Date:</w:t>
      </w:r>
      <w:r>
        <w:t xml:space="preserve"> </w:t>
      </w:r>
      <w:r>
        <w:t xml:space="preserve">October 2023 |</w:t>
      </w:r>
      <w:r>
        <w:t xml:space="preserve"> </w:t>
      </w:r>
      <w:r>
        <w:rPr>
          <w:bCs/>
          <w:b/>
        </w:rPr>
        <w:t xml:space="preserve">Location:</w:t>
      </w:r>
      <w:r>
        <w:t xml:space="preserve"> </w:t>
      </w:r>
      <w:r>
        <w:t xml:space="preserve">Miami, United States</w:t>
      </w:r>
      <w:r>
        <w:br/>
      </w:r>
      <w:r>
        <w:rPr>
          <w:iCs/>
          <w:i/>
        </w:rPr>
        <w:t xml:space="preserve">Focused Research on Financial Services, Regional Economics, and Professional Evolution</w:t>
      </w:r>
    </w:p>
    <w:bookmarkStart w:id="20" w:name="i.-introduction-and-contextual-framework"/>
    <w:p>
      <w:pPr>
        <w:pStyle w:val="Heading2"/>
      </w:pPr>
      <w:r>
        <w:t xml:space="preserve">I. Introduction and Contextual Framework</w:t>
      </w:r>
    </w:p>
    <w:p>
      <w:pPr>
        <w:pStyle w:val="FirstParagraph"/>
      </w:pPr>
      <w:r>
        <w:t xml:space="preserve">Miami has emerged over the last two decades as one of the most dynamic financial hubs in North America, often referred to as the "Gateway to Latin America" and a growing center for wealth management within the United States. This poster presentation explores the multifaceted role of the</w:t>
      </w:r>
      <w:r>
        <w:t xml:space="preserve"> </w:t>
      </w:r>
      <w:r>
        <w:rPr>
          <w:bCs/>
          <w:b/>
        </w:rPr>
        <w:t xml:space="preserve">Banker</w:t>
      </w:r>
      <w:r>
        <w:t xml:space="preserve"> </w:t>
      </w:r>
      <w:r>
        <w:t xml:space="preserve">within this specific geographic and economic context. The traditional definition of banking has evolved rapidly, shifting from transactional services to holistic relationship management, cross-border advisory, and digital integration.</w:t>
      </w:r>
    </w:p>
    <w:p>
      <w:pPr>
        <w:pStyle w:val="BodyText"/>
      </w:pPr>
      <w:r>
        <w:t xml:space="preserve">The objective of this academic inquiry is to analyze how the professional identity and operational strategies of a</w:t>
      </w:r>
      <w:r>
        <w:t xml:space="preserve"> </w:t>
      </w:r>
      <w:r>
        <w:rPr>
          <w:bCs/>
          <w:b/>
        </w:rPr>
        <w:t xml:space="preserve">Banker</w:t>
      </w:r>
      <w:r>
        <w:t xml:space="preserve"> </w:t>
      </w:r>
      <w:r>
        <w:t xml:space="preserve">in</w:t>
      </w:r>
      <w:r>
        <w:t xml:space="preserve"> </w:t>
      </w:r>
      <w:r>
        <w:rPr>
          <w:bCs/>
          <w:b/>
        </w:rPr>
        <w:t xml:space="preserve">Miami</w:t>
      </w:r>
      <w:r>
        <w:t xml:space="preserve"> </w:t>
      </w:r>
      <w:r>
        <w:t xml:space="preserve">differ from those in traditional inland financial centers such as Chicago or Dallas. By focusing on the unique demographics, international capital flows, and regulatory environments present in</w:t>
      </w:r>
      <w:r>
        <w:t xml:space="preserve"> </w:t>
      </w:r>
      <w:r>
        <w:rPr>
          <w:bCs/>
          <w:b/>
        </w:rPr>
        <w:t xml:space="preserve">Miami</w:t>
      </w:r>
      <w:r>
        <w:t xml:space="preserve">, we aim to highlight the specialized skills required for success. This research is particularly relevant given Miami's influx of corporate relocations and high-net-worth individuals seeking stability within the</w:t>
      </w:r>
      <w:r>
        <w:t xml:space="preserve"> </w:t>
      </w:r>
      <w:r>
        <w:rPr>
          <w:bCs/>
          <w:b/>
        </w:rPr>
        <w:t xml:space="preserve">United States</w:t>
      </w:r>
      <w:r>
        <w:t xml:space="preserve"> </w:t>
      </w:r>
      <w:r>
        <w:t xml:space="preserve">economic framework.</w:t>
      </w:r>
    </w:p>
    <w:bookmarkEnd w:id="20"/>
    <w:bookmarkStart w:id="21" w:name="ii.-abstract"/>
    <w:p>
      <w:pPr>
        <w:pStyle w:val="Heading2"/>
      </w:pPr>
      <w:r>
        <w:t xml:space="preserve">II. Abstract</w:t>
      </w:r>
    </w:p>
    <w:p>
      <w:pPr>
        <w:pStyle w:val="FirstParagraph"/>
      </w:pPr>
      <w:r>
        <w:t xml:space="preserve">This study examines the transformation of the banking profession in Miami, Florida, positioning it as a critical node in global finance. It argues that the modern Banker operating in this region must possess a triad of competencies: deep knowledge of international cross-border taxation and compliance, cultural fluency regarding Latin American markets, and technological proficiency to manage remote client relationships. Data indicates that the demand for specialized wealth management services has grown by over 30% in South Florida since 2019. Consequently, the Banker is no longer merely a custodian of assets but a strategic architect of international financial stability for clients navigating the complex landscape of the</w:t>
      </w:r>
      <w:r>
        <w:t xml:space="preserve"> </w:t>
      </w:r>
      <w:r>
        <w:rPr>
          <w:bCs/>
          <w:b/>
        </w:rPr>
        <w:t xml:space="preserve">United States</w:t>
      </w:r>
      <w:r>
        <w:t xml:space="preserve">.</w:t>
      </w:r>
    </w:p>
    <w:bookmarkEnd w:id="21"/>
    <w:bookmarkStart w:id="22" w:name="Xab15d4c67fe826fdaab49de1dd1e8e96095c6a5"/>
    <w:p>
      <w:pPr>
        <w:pStyle w:val="Heading2"/>
      </w:pPr>
      <w:r>
        <w:t xml:space="preserve">III. Regional Dynamics: The Miami Ecosystem</w:t>
      </w:r>
    </w:p>
    <w:p>
      <w:pPr>
        <w:pStyle w:val="FirstParagraph"/>
      </w:pPr>
      <w:r>
        <w:t xml:space="preserve">To understand the specific role of the Banker in this locale, one must first analyze the economic drivers of Miami. Unlike other cities in the</w:t>
      </w:r>
      <w:r>
        <w:t xml:space="preserve"> </w:t>
      </w:r>
      <w:r>
        <w:rPr>
          <w:bCs/>
          <w:b/>
        </w:rPr>
        <w:t xml:space="preserve">United States</w:t>
      </w:r>
      <w:r>
        <w:t xml:space="preserve">, Miami’s financial sector is heavily influenced by its proximity to Latin America and its status as a tax-friendly jurisdiction within states that generally offer favorable personal income tax environments (though Florida is unique among large coastal economies for having no state income tax).</w:t>
      </w:r>
    </w:p>
    <w:p>
      <w:pPr>
        <w:numPr>
          <w:ilvl w:val="0"/>
          <w:numId w:val="1001"/>
        </w:numPr>
        <w:pStyle w:val="Compact"/>
      </w:pPr>
      <w:r>
        <w:rPr>
          <w:bCs/>
          <w:b/>
        </w:rPr>
        <w:t xml:space="preserve">Demographic Shifts:</w:t>
      </w:r>
      <w:r>
        <w:t xml:space="preserve"> </w:t>
      </w:r>
      <w:r>
        <w:t xml:space="preserve">The arrival of new residents includes entrepreneurs, tech executives, and retirees from Europe and Latin America. This influx requires Bankers to adapt quickly to diverse cultural expectations regarding service delivery and communication styles.</w:t>
      </w:r>
    </w:p>
    <w:p>
      <w:pPr>
        <w:numPr>
          <w:ilvl w:val="0"/>
          <w:numId w:val="1001"/>
        </w:numPr>
        <w:pStyle w:val="Compact"/>
      </w:pPr>
      <w:r>
        <w:rPr>
          <w:bCs/>
          <w:b/>
        </w:rPr>
        <w:t xml:space="preserve">Cross-Border Capital Flows:</w:t>
      </w:r>
      <w:r>
        <w:t xml:space="preserve"> </w:t>
      </w:r>
      <w:r>
        <w:t xml:space="preserve">Miami serves as a primary entry point for capital moving between South America/Caribbean nations and the broader US market. A Banker in this region must be adept at handling multi-currency accounts, international wire transfers, and foreign investment structures.</w:t>
      </w:r>
    </w:p>
    <w:p>
      <w:pPr>
        <w:numPr>
          <w:ilvl w:val="0"/>
          <w:numId w:val="1001"/>
        </w:numPr>
        <w:pStyle w:val="Compact"/>
      </w:pPr>
      <w:r>
        <w:rPr>
          <w:bCs/>
          <w:b/>
        </w:rPr>
        <w:t xml:space="preserve">Real Estate Integration:</w:t>
      </w:r>
      <w:r>
        <w:t xml:space="preserve"> </w:t>
      </w:r>
      <w:r>
        <w:t xml:space="preserve">In Miami, banking is intrinsically linked to real estate. The Banker’s role often extends into advising on commercial lending for high-rise developments and residential mortgages for non-resident buyers, requiring a nuanced understanding of both credit risk and property valuation trends unique to the South Florida market.</w:t>
      </w:r>
    </w:p>
    <w:bookmarkEnd w:id="22"/>
    <w:bookmarkStart w:id="26" w:name="X7d665c9d38bc88c5ce123ef19baf31a68cb7f7c"/>
    <w:p>
      <w:pPr>
        <w:pStyle w:val="Heading2"/>
      </w:pPr>
      <w:r>
        <w:t xml:space="preserve">IV. The Evolving Profile of the Modern Banker</w:t>
      </w:r>
    </w:p>
    <w:p>
      <w:pPr>
        <w:pStyle w:val="FirstParagraph"/>
      </w:pPr>
      <w:r>
        <w:t xml:space="preserve">The persona of the Banker in Miami is distinct from the archetypal Wall Street trader. While traditional banking structures remain, there is a pronounced shift toward "Private Banking" and "Family Office" services. The following competencies are identified as essential for the contemporary Banker in this region:</w:t>
      </w:r>
    </w:p>
    <w:bookmarkStart w:id="23" w:name="a.-cultural-and-linguistic-fluency"/>
    <w:p>
      <w:pPr>
        <w:pStyle w:val="Heading3"/>
      </w:pPr>
      <w:r>
        <w:t xml:space="preserve">A. Cultural and Linguistic Fluency</w:t>
      </w:r>
    </w:p>
    <w:p>
      <w:pPr>
        <w:pStyle w:val="FirstParagraph"/>
      </w:pPr>
      <w:r>
        <w:t xml:space="preserve">In many parts of the</w:t>
      </w:r>
      <w:r>
        <w:t xml:space="preserve"> </w:t>
      </w:r>
      <w:r>
        <w:rPr>
          <w:bCs/>
          <w:b/>
        </w:rPr>
        <w:t xml:space="preserve">United States</w:t>
      </w:r>
      <w:r>
        <w:t xml:space="preserve">, English is the sole business language. However, in Miami, proficiency in Spanish and Portuguese is often a prerequisite for effective client acquisition. The Banker acts as a cultural bridge, ensuring that international clients feel understood and legally protected while integrating their wealth into the American financial system.</w:t>
      </w:r>
    </w:p>
    <w:bookmarkEnd w:id="23"/>
    <w:bookmarkStart w:id="24" w:name="b.-regulatory-expertise"/>
    <w:p>
      <w:pPr>
        <w:pStyle w:val="Heading3"/>
      </w:pPr>
      <w:r>
        <w:t xml:space="preserve">B. Regulatory Expertise</w:t>
      </w:r>
    </w:p>
    <w:p>
      <w:pPr>
        <w:pStyle w:val="FirstParagraph"/>
      </w:pPr>
      <w:r>
        <w:t xml:space="preserve">The Banker must navigate a complex web of regulations, including Anti-Money Laundering (AML) laws, the Foreign Account Tax Compliance Act (FATCA), and local Florida banking codes. Given Miami’s history as an international transit point for capital, compliance officers and bankers work closely to ensure that all transactions are transparent and compliant with federal standards across the</w:t>
      </w:r>
      <w:r>
        <w:t xml:space="preserve"> </w:t>
      </w:r>
      <w:r>
        <w:rPr>
          <w:bCs/>
          <w:b/>
        </w:rPr>
        <w:t xml:space="preserve">United States</w:t>
      </w:r>
      <w:r>
        <w:t xml:space="preserve">.</w:t>
      </w:r>
    </w:p>
    <w:bookmarkEnd w:id="24"/>
    <w:bookmarkStart w:id="25" w:name="c.-digital-adoption"/>
    <w:p>
      <w:pPr>
        <w:pStyle w:val="Heading3"/>
      </w:pPr>
      <w:r>
        <w:t xml:space="preserve">C. Digital Adoption</w:t>
      </w:r>
    </w:p>
    <w:p>
      <w:pPr>
        <w:pStyle w:val="FirstParagraph"/>
      </w:pPr>
      <w:r>
        <w:t xml:space="preserve">The modern Banker leverages fintech solutions to provide seamless services. Mobile banking applications, blockchain-based asset tracking, and AI-driven portfolio management tools are now standard. The Banker in Miami must be tech-savvy enough to explain these innovations to older generations of wealth holders while offering cutting-edge digital experiences to younger tech entrepreneurs who have relocated to the city.</w:t>
      </w:r>
    </w:p>
    <w:bookmarkEnd w:id="25"/>
    <w:bookmarkEnd w:id="26"/>
    <w:bookmarkStart w:id="27" w:name="Xcee22fefc49206c69cd435680a495f988d20a40"/>
    <w:p>
      <w:pPr>
        <w:pStyle w:val="Heading2"/>
      </w:pPr>
      <w:r>
        <w:t xml:space="preserve">V. Challenges and Strategic Opportunities</w:t>
      </w:r>
    </w:p>
    <w:p>
      <w:pPr>
        <w:pStyle w:val="FirstParagraph"/>
      </w:pPr>
      <w:r>
        <w:t xml:space="preserve">Despite the growth, Bankers in Miami face significant challenges. Environmental risks associated with climate change impact insurance costs and property values, requiring Bankers to advise clients on sustainable investment portfolios and resilience planning. Furthermore, competition is fierce. As more global banks establish satellite offices in Miami downtown towers, the differentiation between institutions lies in the personalized service provided by individual Bankers.</w:t>
      </w:r>
    </w:p>
    <w:p>
      <w:pPr>
        <w:pStyle w:val="BodyText"/>
      </w:pPr>
      <w:r>
        <w:t xml:space="preserve">Opportunities abound in the realm of sustainable finance and impact investing. With Miami leading many US cities in ESG (Environmental, Social, and Governance) initiatives, Bankers are positioned to guide clients toward green bonds and eco-friendly infrastructure projects. This aligns with the broader mission of financial institutions to contribute positively to the local</w:t>
      </w:r>
      <w:r>
        <w:t xml:space="preserve"> </w:t>
      </w:r>
      <w:r>
        <w:rPr>
          <w:bCs/>
          <w:b/>
        </w:rPr>
        <w:t xml:space="preserve">United States</w:t>
      </w:r>
      <w:r>
        <w:t xml:space="preserve"> </w:t>
      </w:r>
      <w:r>
        <w:t xml:space="preserve">community while generating returns.</w:t>
      </w:r>
    </w:p>
    <w:bookmarkEnd w:id="27"/>
    <w:bookmarkStart w:id="28" w:name="vi.-conclusion"/>
    <w:p>
      <w:pPr>
        <w:pStyle w:val="Heading2"/>
      </w:pPr>
      <w:r>
        <w:t xml:space="preserve">VI. Conclusion</w:t>
      </w:r>
    </w:p>
    <w:p>
      <w:pPr>
        <w:pStyle w:val="FirstParagraph"/>
      </w:pPr>
      <w:r>
        <w:t xml:space="preserve">This presentation underscores that the role of the Banker in Miami is not static but is undergoing a profound transformation driven by globalization, technology, and demographic changes. The Banker today must be a hybrid professional: part financial analyst, part cultural ambassador, and part technological advisor.</w:t>
      </w:r>
    </w:p>
    <w:p>
      <w:pPr>
        <w:pStyle w:val="BodyText"/>
      </w:pPr>
      <w:r>
        <w:rPr>
          <w:bCs/>
          <w:b/>
        </w:rPr>
        <w:t xml:space="preserve">Final Thought:</w:t>
      </w:r>
      <w:r>
        <w:t xml:space="preserve"> </w:t>
      </w:r>
      <w:r>
        <w:t xml:space="preserve">As Miami continues to solidify its status as a premier financial center in the</w:t>
      </w:r>
      <w:r>
        <w:t xml:space="preserve"> </w:t>
      </w:r>
      <w:r>
        <w:rPr>
          <w:bCs/>
          <w:b/>
        </w:rPr>
        <w:t xml:space="preserve">United States</w:t>
      </w:r>
      <w:r>
        <w:t xml:space="preserve">, the success of individual institutions will depend on their ability to train and empower Bankers who can navigate this complex, internationalized landscape. Future research should focus on the long-term impact of these evolving roles on regional economic stability and cross-border trade facilitation.</w:t>
      </w:r>
    </w:p>
    <w:bookmarkEnd w:id="28"/>
    <w:bookmarkStart w:id="29" w:name="vii.-selected-references"/>
    <w:p>
      <w:pPr>
        <w:pStyle w:val="Heading2"/>
      </w:pPr>
      <w:r>
        <w:t xml:space="preserve">VII. Selected References</w:t>
      </w:r>
    </w:p>
    <w:p>
      <w:pPr>
        <w:numPr>
          <w:ilvl w:val="0"/>
          <w:numId w:val="1002"/>
        </w:numPr>
        <w:pStyle w:val="Compact"/>
      </w:pPr>
      <w:r>
        <w:t xml:space="preserve">Federal Reserve Bank of New York. (2023). *Cross-Border Payment Flows in the Southeast Region*.</w:t>
      </w:r>
    </w:p>
    <w:p>
      <w:pPr>
        <w:numPr>
          <w:ilvl w:val="0"/>
          <w:numId w:val="1002"/>
        </w:numPr>
        <w:pStyle w:val="Compact"/>
      </w:pPr>
      <w:r>
        <w:t xml:space="preserve">Florida Office of Economic and Demographic Research. (2022). *Population Growth and Wealth Migration to South Florida*.</w:t>
      </w:r>
    </w:p>
    <w:p>
      <w:pPr>
        <w:numPr>
          <w:ilvl w:val="0"/>
          <w:numId w:val="1002"/>
        </w:numPr>
        <w:pStyle w:val="Compact"/>
      </w:pPr>
      <w:r>
        <w:t xml:space="preserve">American Bankers Association. (2021). *The Future of Banking: Digital Transformation in Regional Markets*.</w:t>
      </w:r>
    </w:p>
    <w:p>
      <w:pPr>
        <w:numPr>
          <w:ilvl w:val="0"/>
          <w:numId w:val="1002"/>
        </w:numPr>
        <w:pStyle w:val="Compact"/>
      </w:pPr>
      <w:r>
        <w:t xml:space="preserve">Miami Chamber of Commerce. (2023). *Annual Economic Outlook: The Financial Services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Strategic Role of the Banker in United States Miami</dc:title>
  <dc:creator/>
  <dc:language>en</dc:language>
  <cp:keywords/>
  <dcterms:created xsi:type="dcterms:W3CDTF">2026-07-29T20:35:34Z</dcterms:created>
  <dcterms:modified xsi:type="dcterms:W3CDTF">2026-07-29T20:35:34Z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