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--&gt;</w:t>
      </w:r>
    </w:p>
    <w:bookmarkStart w:id="20" w:name="X475251b127930c4cc8fbf1921e106a54f1bc9e6"/>
    <w:p>
      <w:pPr>
        <w:pStyle w:val="Heading1"/>
      </w:pPr>
      <w:r>
        <w:t xml:space="preserve">The Strategic Role of the Modern Banker in Vietnam Ho Chi Minh City: Navigating Digital Transformation and Financial Inclusion</w:t>
      </w:r>
    </w:p>
    <w:p>
      <w:pPr>
        <w:pStyle w:val="FirstParagraph"/>
      </w:pPr>
      <w:r>
        <w:t xml:space="preserve">An Academic Analysis of Banking Sector Dynamics in a Rapidly Urbanizing Economic Hub</w:t>
      </w:r>
    </w:p>
    <w:bookmarkEnd w:id="20"/>
    <w:p>
      <w:pPr>
        <w:pStyle w:val="BodyText"/>
      </w:pPr>
      <w:r>
        <w:rPr>
          <w:bCs/>
          <w:b/>
        </w:rPr>
        <w:t xml:space="preserve">Akshay Kumar Sharma</w:t>
      </w:r>
      <w:r>
        <w:br/>
      </w:r>
      <w:r>
        <w:t xml:space="preserve">Department of Economics and Finance</w:t>
      </w:r>
      <w:r>
        <w:br/>
      </w:r>
      <w:r>
        <w:t xml:space="preserve">University of International Business Vietnam, Ho Chi Minh City Branch</w:t>
      </w:r>
      <w:r>
        <w:br/>
      </w:r>
      <w:r>
        <w:t xml:space="preserve">Contact: a.sharma@university-example.edu.vn | ORCID: 0000-XXXX-XXXX-XXXX</w:t>
      </w:r>
    </w:p>
    <w:bookmarkStart w:id="21" w:name="abstract"/>
    <w:p>
      <w:pPr>
        <w:pStyle w:val="Heading3"/>
      </w:pPr>
      <w:r>
        <w:t xml:space="preserve">Abstract</w:t>
      </w:r>
    </w:p>
    <w:p>
      <w:pPr>
        <w:pStyle w:val="FirstParagraph"/>
      </w:pPr>
      <w:r>
        <w:t xml:space="preserve">This poster presents a comprehensive analysis of the evolving role of the banker within Vietnam Ho Chi Minh City, one of Southeast Asia’s most dynamic financial centers. As Vietnam Ho Chi Minh City transitions from a state-controlled economy to a market-oriented powerhouse, the traditional definition of the "banker" is undergoing significant metamorphosis. This study examines how bankers in Vietnam Ho Chi Minh City are adapting to digital disruption, regulatory changes imposed by the State Bank of Vietnam (SBV), and shifting consumer behaviors driven by a young, tech-savvy demographic. Through qualitative analysis of banking reports and case studies from major institutions such as Vietcombank, TPBank, and MB Bank operating within Ho Chi Minh City this paper argues that the modern banker in Vietnam Ho Chi Minh City must transcend traditional transactional roles to become strategic advisors in financial technology (FinTech) integration. The findings suggest that success in Vietnam Ho Chi Minh City relies heavily on the banker’s ability to bridge the gap between legacy banking infrastructure and innovative digital platforms, thereby enhancing financial inclusion for underserved populations while maintaining robust risk management frameworks.</w:t>
      </w:r>
    </w:p>
    <w:bookmarkEnd w:id="21"/>
    <w:bookmarkStart w:id="22" w:name="introduction-and-context"/>
    <w:p>
      <w:pPr>
        <w:pStyle w:val="Heading3"/>
      </w:pPr>
      <w:r>
        <w:t xml:space="preserve">Introduction and Context</w:t>
      </w:r>
    </w:p>
    <w:p>
      <w:pPr>
        <w:pStyle w:val="FirstParagraph"/>
      </w:pPr>
      <w:r>
        <w:rPr>
          <w:bCs/>
          <w:b/>
        </w:rPr>
        <w:t xml:space="preserve">Vietnam Ho Chi Minh City</w:t>
      </w:r>
      <w:r>
        <w:t xml:space="preserve"> </w:t>
      </w:r>
      <w:r>
        <w:t xml:space="preserve">serves as the economic engine of Vietnam, contributing significantly to the nation's GDP. For decades, banking in Vietnam was characterized by state dominance and limited competition. However, in recent years, **Vietnam Ho Chi Minh City** has emerged as a testing ground for modern financial practices where the role of the</w:t>
      </w:r>
      <w:r>
        <w:t xml:space="preserve"> </w:t>
      </w:r>
      <w:r>
        <w:rPr>
          <w:bCs/>
          <w:b/>
        </w:rPr>
        <w:t xml:space="preserve">Banker</w:t>
      </w:r>
      <w:r>
        <w:t xml:space="preserve"> </w:t>
      </w:r>
      <w:r>
        <w:t xml:space="preserve">is pivotal.</w:t>
      </w:r>
    </w:p>
    <w:p>
      <w:pPr>
        <w:pStyle w:val="BodyText"/>
      </w:pPr>
      <w:r>
        <w:t xml:space="preserve">The concept of the "banker" has historically implied a custodian of assets and a gatekeeper of credit. In the context of Vietnam Ho Chi Minh City, this definition is expanding. The rapid urbanization and industrialization within Ho Chi Minh City have created diverse financial needs ranging from small business loans for local entrepreneurs to complex wealth management services for high-net-worth individuals.</w:t>
      </w:r>
    </w:p>
    <w:p>
      <w:pPr>
        <w:pStyle w:val="BodyText"/>
      </w:pPr>
      <w:r>
        <w:t xml:space="preserve">This poster explores why understanding the specific role of the banker in Vietnam Ho Chi Minh City is critical. Unlike other Southeast Asian hubs, Vietnam has a unique cultural emphasis on trust and relationships in business dealings. Therefore, the interpersonal aspect of banking remains crucial even as digital tools take center stage.</w:t>
      </w:r>
    </w:p>
    <w:bookmarkEnd w:id="22"/>
    <w:bookmarkStart w:id="23" w:name="digital-transformation-and-the-banker"/>
    <w:p>
      <w:pPr>
        <w:pStyle w:val="Heading3"/>
      </w:pPr>
      <w:r>
        <w:t xml:space="preserve">Digital Transformation and the Banker</w:t>
      </w:r>
    </w:p>
    <w:p>
      <w:pPr>
        <w:pStyle w:val="FirstParagraph"/>
      </w:pPr>
      <w:r>
        <w:t xml:space="preserve">The most profound change facing bankers in Vietnam Ho Chi Minh City is digital transformation. Traditional brick-and-mortar branches are no longer sufficient to meet the demands of consumers in Vietnam Ho Chi Minh City who expect seamless mobile experiences.</w:t>
      </w:r>
    </w:p>
    <w:p>
      <w:pPr>
        <w:numPr>
          <w:ilvl w:val="0"/>
          <w:numId w:val="1001"/>
        </w:numPr>
        <w:pStyle w:val="Compact"/>
      </w:pPr>
      <w:r>
        <w:rPr>
          <w:bCs/>
          <w:b/>
        </w:rPr>
        <w:t xml:space="preserve">Mobility First:</w:t>
      </w:r>
      <w:r>
        <w:t xml:space="preserve"> </w:t>
      </w:r>
      <w:r>
        <w:t xml:space="preserve">Bankers in Vietnam Ho Chi Minh City must now possess strong digital literacy to guide clients through mobile banking applications, e-wallets, and online lending platforms.</w:t>
      </w:r>
    </w:p>
    <w:p>
      <w:pPr>
        <w:numPr>
          <w:ilvl w:val="0"/>
          <w:numId w:val="1001"/>
        </w:numPr>
        <w:pStyle w:val="Compact"/>
      </w:pPr>
      <w:r>
        <w:rPr>
          <w:bCs/>
          <w:b/>
        </w:rPr>
        <w:t xml:space="preserve">Data-Driven Decisions:</w:t>
      </w:r>
      <w:r>
        <w:t xml:space="preserve"> </w:t>
      </w:r>
      <w:r>
        <w:t xml:space="preserve">Modern bankers leverage big data analytics to assess creditworthiness beyond traditional collateral. This is particularly relevant in Vietnam Ho Chi Minh City where the informal economy is substantial.</w:t>
      </w:r>
    </w:p>
    <w:p>
      <w:pPr>
        <w:numPr>
          <w:ilvl w:val="0"/>
          <w:numId w:val="1001"/>
        </w:numPr>
        <w:pStyle w:val="Compact"/>
      </w:pPr>
      <w:r>
        <w:rPr>
          <w:bCs/>
          <w:b/>
        </w:rPr>
        <w:t xml:space="preserve">Risk Management:</w:t>
      </w:r>
      <w:r>
        <w:t xml:space="preserve"> </w:t>
      </w:r>
      <w:r>
        <w:t xml:space="preserve">With digitalization comes new risks, including cyber threats. Bankers must be adept at identifying fraud and ensuring data security for clients in Vietnam Ho Chi Minh City.</w:t>
      </w:r>
    </w:p>
    <w:p>
      <w:pPr>
        <w:pStyle w:val="FirstParagraph"/>
      </w:pPr>
      <w:r>
        <w:t xml:space="preserve">Institutions like Techcombank and VPBank, headquartered or heavily operating in Vietnam Ho Chi Minh City, exemplify this shift where every banker is expected to be a digital advocate for the customer.</w:t>
      </w:r>
    </w:p>
    <w:bookmarkEnd w:id="23"/>
    <w:bookmarkStart w:id="24" w:name="bridging-the-gap-financial-inclusion"/>
    <w:p>
      <w:pPr>
        <w:pStyle w:val="Heading3"/>
      </w:pPr>
      <w:r>
        <w:t xml:space="preserve">Bridging the Gap: Financial Inclusion</w:t>
      </w:r>
    </w:p>
    <w:p>
      <w:pPr>
        <w:pStyle w:val="FirstParagraph"/>
      </w:pPr>
      <w:r>
        <w:t xml:space="preserve">A central theme in current banking literature is financial inclusion. For Vietnam Ho Chi Minh City, this means extending services to rural outskirts and informal sector workers who are often excluded from the formal banking system.</w:t>
      </w:r>
    </w:p>
    <w:p>
      <w:pPr>
        <w:pStyle w:val="BodyText"/>
      </w:pPr>
      <w:r>
        <w:t xml:space="preserve">The modern banker plays a dual role here. Firstly, they act as educators, teaching individuals how to save formally rather than holding cash at home. Secondly, they design inclusive products tailored to the cash-flow irregularities typical of small traders in Ho Chi Minh City markets.</w:t>
      </w:r>
    </w:p>
    <w:p>
      <w:pPr>
        <w:pStyle w:val="BodyText"/>
      </w:pPr>
      <w:r>
        <w:rPr>
          <w:bCs/>
          <w:b/>
        </w:rPr>
        <w:t xml:space="preserve">Key Insight:</w:t>
      </w:r>
      <w:r>
        <w:t xml:space="preserve"> </w:t>
      </w:r>
      <w:r>
        <w:t xml:space="preserve">By focusing on financial literacy campaigns within Vietnam Ho Chi Minh City communities, bankers are not only expanding their customer base but also contributing to social stability and economic resilience. The banker becomes a community partner rather than just a service provider.</w:t>
      </w:r>
    </w:p>
    <w:bookmarkEnd w:id="24"/>
    <w:bookmarkStart w:id="25" w:name="regulatory-landscape-in-vietnam"/>
    <w:p>
      <w:pPr>
        <w:pStyle w:val="Heading3"/>
      </w:pPr>
      <w:r>
        <w:t xml:space="preserve">Regulatory Landscape in Vietnam</w:t>
      </w:r>
    </w:p>
    <w:p>
      <w:pPr>
        <w:pStyle w:val="FirstParagraph"/>
      </w:pPr>
      <w:r>
        <w:t xml:space="preserve">The operations of bankers in Vietnam Ho Chi Minh City are governed by strict regulations from the State Bank of Vietnam (SBV). Understanding these regulations is a core competency for any professional banker.</w:t>
      </w:r>
    </w:p>
    <w:p>
      <w:pPr>
        <w:numPr>
          <w:ilvl w:val="0"/>
          <w:numId w:val="1002"/>
        </w:numPr>
        <w:pStyle w:val="Compact"/>
      </w:pPr>
      <w:r>
        <w:rPr>
          <w:bCs/>
          <w:b/>
        </w:rPr>
        <w:t xml:space="preserve">NPL Resolution:</w:t>
      </w:r>
      <w:r>
        <w:t xml:space="preserve"> </w:t>
      </w:r>
      <w:r>
        <w:t xml:space="preserve">Strict guidelines on Non-Performing Loans require bankers to exercise extreme due diligence when lending in Vietnam Ho Chi Minh City.</w:t>
      </w:r>
    </w:p>
    <w:p>
      <w:pPr>
        <w:numPr>
          <w:ilvl w:val="0"/>
          <w:numId w:val="1002"/>
        </w:numPr>
        <w:pStyle w:val="Compact"/>
      </w:pPr>
      <w:r>
        <w:rPr>
          <w:bCs/>
          <w:b/>
        </w:rPr>
        <w:t xml:space="preserve">Basel III Implementation:</w:t>
      </w:r>
      <w:r>
        <w:t xml:space="preserve"> </w:t>
      </w:r>
      <w:r>
        <w:t xml:space="preserve">The adoption of international banking standards requires bankers to maintain adequate capital buffers, influencing their risk appetite and product pricing strategies.</w:t>
      </w:r>
    </w:p>
    <w:p>
      <w:pPr>
        <w:numPr>
          <w:ilvl w:val="0"/>
          <w:numId w:val="1002"/>
        </w:numPr>
        <w:pStyle w:val="Compact"/>
      </w:pPr>
      <w:r>
        <w:rPr>
          <w:bCs/>
          <w:b/>
        </w:rPr>
        <w:t xml:space="preserve">Credit Growth Targets:</w:t>
      </w:r>
      <w:r>
        <w:t xml:space="preserve"> </w:t>
      </w:r>
      <w:r>
        <w:t xml:space="preserve">SBV sets annual credit growth targets. Bankers in Vietnam Ho Chi Minh City must balance aggressive lending to support the city's economy with prudence to prevent systemic risk.</w:t>
      </w:r>
    </w:p>
    <w:p>
      <w:pPr>
        <w:pStyle w:val="FirstParagraph"/>
      </w:pPr>
      <w:r>
        <w:t xml:space="preserve">Navigating this complex regulatory framework requires continuous education and adaptation from every banker operating in the region.</w:t>
      </w:r>
    </w:p>
    <w:bookmarkEnd w:id="25"/>
    <w:bookmarkStart w:id="26" w:name="X9fbed6284dfc6407b7530b72421c98446b0b896"/>
    <w:p>
      <w:pPr>
        <w:pStyle w:val="Heading3"/>
      </w:pPr>
      <w:r>
        <w:t xml:space="preserve">Case Studies: Leaders in Vietnam Ho Chi Minh City</w:t>
      </w:r>
    </w:p>
    <w:p>
      <w:pPr>
        <w:pStyle w:val="FirstParagraph"/>
      </w:pPr>
      <w:r>
        <w:rPr>
          <w:bCs/>
          <w:b/>
        </w:rPr>
        <w:t xml:space="preserve">Vietcombank:</w:t>
      </w:r>
      <w:r>
        <w:t xml:space="preserve"> </w:t>
      </w:r>
      <w:r>
        <w:t xml:space="preserve">As the largest foreign exchange trading bank, Vietcombank demonstrates how traditional bankers are adapting to global financial integration while serving local clients in Vietnam Ho Chi Minh City.</w:t>
      </w:r>
    </w:p>
    <w:p>
      <w:pPr>
        <w:pStyle w:val="BodyText"/>
      </w:pPr>
      <w:r>
        <w:rPr>
          <w:bCs/>
          <w:b/>
        </w:rPr>
        <w:t xml:space="preserve">Techcombank:</w:t>
      </w:r>
      <w:r>
        <w:t xml:space="preserve"> </w:t>
      </w:r>
      <w:r>
        <w:t xml:space="preserve">Known for its digital-first approach, Techcombank showcases how a</w:t>
      </w:r>
      <w:r>
        <w:t xml:space="preserve"> </w:t>
      </w:r>
      <w:r>
        <w:rPr>
          <w:bCs/>
          <w:b/>
        </w:rPr>
        <w:t xml:space="preserve">Banker</w:t>
      </w:r>
      <w:r>
        <w:t xml:space="preserve"> </w:t>
      </w:r>
      <w:r>
        <w:t xml:space="preserve">can utilize technology to streamline operations and enhance customer experience, setting a benchmark for competitors in Vietnam Ho Chi Minh City.</w:t>
      </w:r>
    </w:p>
    <w:bookmarkEnd w:id="26"/>
    <w:bookmarkStart w:id="27" w:name="conclusion-and-recommendations"/>
    <w:p>
      <w:pPr>
        <w:pStyle w:val="Heading3"/>
      </w:pPr>
      <w:r>
        <w:t xml:space="preserve">Conclusion and Recommendations</w:t>
      </w:r>
    </w:p>
    <w:p>
      <w:pPr>
        <w:pStyle w:val="FirstParagraph"/>
      </w:pPr>
      <w:r>
        <w:t xml:space="preserve">The evolution of the banker in Vietnam Ho Chi Minh City is a testament to the broader economic shifts occurring within Southeast Asia. The traditional banker is being replaced by a hybrid professional who combines financial expertise with technological proficiency.</w:t>
      </w:r>
    </w:p>
    <w:p>
      <w:pPr>
        <w:pStyle w:val="BodyText"/>
      </w:pPr>
      <w:r>
        <w:rPr>
          <w:bCs/>
          <w:b/>
        </w:rPr>
        <w:t xml:space="preserve">Recommendations:</w:t>
      </w:r>
    </w:p>
    <w:p>
      <w:pPr>
        <w:numPr>
          <w:ilvl w:val="0"/>
          <w:numId w:val="1003"/>
        </w:numPr>
        <w:pStyle w:val="Compact"/>
      </w:pPr>
      <w:r>
        <w:rPr>
          <w:bCs/>
          <w:b/>
        </w:rPr>
        <w:t xml:space="preserve">Upskilling Programs:</w:t>
      </w:r>
      <w:r>
        <w:t xml:space="preserve"> </w:t>
      </w:r>
      <w:r>
        <w:t xml:space="preserve">Banks in Vietnam Ho Chi Minh City must invest heavily in continuous training programs that cover digital tools, cybersecurity, and behavioral economics.</w:t>
      </w:r>
    </w:p>
    <w:p>
      <w:pPr>
        <w:numPr>
          <w:ilvl w:val="0"/>
          <w:numId w:val="1003"/>
        </w:numPr>
        <w:pStyle w:val="Compact"/>
      </w:pPr>
      <w:r>
        <w:rPr>
          <w:bCs/>
          <w:b/>
        </w:rPr>
        <w:t xml:space="preserve">Promoting Financial Literacy:</w:t>
      </w:r>
      <w:r>
        <w:t xml:space="preserve"> </w:t>
      </w:r>
      <w:r>
        <w:t xml:space="preserve">Active engagement with the public is essential. Bankers should lead initiatives to educate citizens on safe banking practices.</w:t>
      </w:r>
    </w:p>
    <w:p>
      <w:pPr>
        <w:numPr>
          <w:ilvl w:val="0"/>
          <w:numId w:val="1003"/>
        </w:numPr>
        <w:pStyle w:val="Compact"/>
      </w:pPr>
      <w:r>
        <w:rPr>
          <w:bCs/>
          <w:b/>
        </w:rPr>
        <w:t xml:space="preserve">Fostering Innovation:</w:t>
      </w:r>
      <w:r>
        <w:t xml:space="preserve"> </w:t>
      </w:r>
      <w:r>
        <w:t xml:space="preserve">Collaboration between traditional banks and FinTech startups in Vietnam Ho Chi Minh City will drive further innovation.</w:t>
      </w:r>
    </w:p>
    <w:bookmarkEnd w:id="27"/>
    <w:bookmarkStart w:id="28" w:name="references"/>
    <w:p>
      <w:pPr>
        <w:pStyle w:val="Heading3"/>
      </w:pPr>
      <w:r>
        <w:t xml:space="preserve">References</w:t>
      </w:r>
    </w:p>
    <w:p>
      <w:pPr>
        <w:numPr>
          <w:ilvl w:val="0"/>
          <w:numId w:val="1004"/>
        </w:numPr>
        <w:pStyle w:val="Compact"/>
      </w:pPr>
      <w:r>
        <w:t xml:space="preserve">Ho Chi Minh City People's Committee Annual Report (2023).</w:t>
      </w:r>
    </w:p>
    <w:p>
      <w:pPr>
        <w:numPr>
          <w:ilvl w:val="0"/>
          <w:numId w:val="1004"/>
        </w:numPr>
        <w:pStyle w:val="Compact"/>
      </w:pPr>
      <w:r>
        <w:t xml:space="preserve">State Bank of Vietnam (SBV) Strategic Development Plan.</w:t>
      </w:r>
    </w:p>
    <w:p>
      <w:pPr>
        <w:numPr>
          <w:ilvl w:val="0"/>
          <w:numId w:val="1004"/>
        </w:numPr>
        <w:pStyle w:val="Compact"/>
      </w:pPr>
      <w:r>
        <w:t xml:space="preserve">Nguyen, T. &amp; Smith, J. (2024). "Digital Banking Adoption in Southeast Asia." *Journal of Asian Economics*.</w:t>
      </w:r>
    </w:p>
    <w:p>
      <w:pPr>
        <w:numPr>
          <w:ilvl w:val="0"/>
          <w:numId w:val="1004"/>
        </w:numPr>
        <w:pStyle w:val="Compact"/>
      </w:pPr>
      <w:r>
        <w:t xml:space="preserve">Vietnam Association of Banks (VAB) Industry Outlook 2025.</w:t>
      </w:r>
    </w:p>
    <w:bookmarkEnd w:id="28"/>
    <w:p>
      <w:pPr>
        <w:pStyle w:val="FirstParagraph"/>
      </w:pPr>
      <w:r>
        <w:t xml:space="preserve">© 2024 Akshay Kumar Sharma. All rights reserved.</w:t>
      </w:r>
      <w:r>
        <w:br/>
      </w:r>
      <w:r>
        <w:t xml:space="preserve">Academic Poster Presentation | Ho Chi Minh City, Vietnam</w:t>
      </w:r>
    </w:p>
    <w:p>
      <w:pPr>
        <w:pStyle w:val="BodyText"/>
      </w:pPr>
      <w:r>
        <w:t xml:space="preserve">Contact: a.sharma@university-example.edu.vn | LinkedIn: linkedin.com/in/akshay-sharma-example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Strategic Role of the Banker in Vietnam Ho Chi Minh City</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