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Biodiversity</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Southern</w:t>
      </w:r>
      <w:r>
        <w:t xml:space="preserve"> </w:t>
      </w:r>
      <w:r>
        <w:t xml:space="preserve">China</w:t>
      </w:r>
    </w:p>
    <w:bookmarkStart w:id="20" w:name="X16b618e3e6bd3e05f17d9c1e687d7c6ce71ed95"/>
    <w:p>
      <w:pPr>
        <w:pStyle w:val="Heading1"/>
      </w:pPr>
      <w:r>
        <w:t xml:space="preserve">Eco-Genetic Dynamics and Conservation Strategies for Endemic Flora in the Nansha Wetland System</w:t>
      </w:r>
    </w:p>
    <w:p>
      <w:pPr>
        <w:pStyle w:val="FirstParagraph"/>
      </w:pPr>
      <w:r>
        <w:t xml:space="preserve">Integrating Traditional Ecological Knowledge with Modern Genomics in South China</w:t>
      </w:r>
    </w:p>
    <w:p>
      <w:pPr>
        <w:pStyle w:val="BodyText"/>
      </w:pPr>
      <w:r>
        <w:t xml:space="preserve">Presented by: Dr. Alex Chen, Lead Biologist</w:t>
      </w:r>
      <w:r>
        <w:br/>
      </w:r>
      <w:r>
        <w:t xml:space="preserve">Affiliation: Institute of Tropical and Subtropical Biology, Guangzhou Academy of Sciences</w:t>
      </w:r>
      <w:r>
        <w:br/>
      </w:r>
      <w:r>
        <w:t xml:space="preserve">Location Context: Guangzhou, Guangdong Province, China</w:t>
      </w:r>
    </w:p>
    <w:bookmarkEnd w:id="20"/>
    <w:bookmarkStart w:id="21" w:name="abstract"/>
    <w:p>
      <w:pPr>
        <w:pStyle w:val="Heading2"/>
      </w:pPr>
      <w:r>
        <w:t xml:space="preserve">Abstract</w:t>
      </w:r>
    </w:p>
    <w:p>
      <w:pPr>
        <w:pStyle w:val="FirstParagraph"/>
      </w:pPr>
      <w:r>
        <w:t xml:space="preserve">This poster presentation outlines a comprehensive biological study conducted in the ecological buffer zones surrounding Guangzhou, specifically focusing on the Nansha Wetland National Nature Reserve. As a pivotal Biologist within the Chinese scientific community, our research addresses the critical intersection of urbanization and biodiversity loss in one of China's most economically dynamic regions. The study utilizes next-generation sequencing to analyze genetic diversity among endemic plant species facing habitat fragmentation. By integrating data from local environmental monitoring stations with field observations, we propose a new framework for conservation management that is specific to the unique climatic and geographical conditions of Southern China Guangzhou region.</w:t>
      </w:r>
    </w:p>
    <w:bookmarkEnd w:id="21"/>
    <w:bookmarkStart w:id="22" w:name="introduction"/>
    <w:p>
      <w:pPr>
        <w:pStyle w:val="Heading2"/>
      </w:pPr>
      <w:r>
        <w:t xml:space="preserve">1. Introduction</w:t>
      </w:r>
    </w:p>
    <w:p>
      <w:pPr>
        <w:pStyle w:val="FirstParagraph"/>
      </w:pPr>
      <w:r>
        <w:t xml:space="preserve">The Pearl River Delta, with Guangzhou as its historical and biological heart, represents a critical zone for biodiversity conservation in East Asia. However rapid industrialization over the past three decades has exerted unprecedented pressure on local ecosystems. As a Biologist dedicated to understanding these shifts, it is imperative to move beyond simple species counting and delve into the functional genetics of remaining populations. This presentation aims to highlight why Guangzhou is not merely an urban center but a crucial hub for tropical-subtropical biological research in China.</w:t>
      </w:r>
    </w:p>
    <w:p>
      <w:pPr>
        <w:pStyle w:val="BodyText"/>
      </w:pPr>
      <w:r>
        <w:t xml:space="preserve">The primary objective of this academic inquiry is to evaluate the resilience of three key endemic mangrove and wetland plant species: *Avicennia marina*, *Sonneratia apetala*, and *Phragmites australis*. Understanding their adaptive mechanisms is vital for predicting how these ecosystems will respond to rising sea levels and increased salinity intrusion, threats that are particularly acute in the coastal districts of Guangzhou.</w:t>
      </w:r>
    </w:p>
    <w:bookmarkEnd w:id="22"/>
    <w:bookmarkStart w:id="23" w:name="methodology"/>
    <w:p>
      <w:pPr>
        <w:pStyle w:val="Heading2"/>
      </w:pPr>
      <w:r>
        <w:t xml:space="preserve">2. Methodology</w:t>
      </w:r>
    </w:p>
    <w:p>
      <w:pPr>
        <w:pStyle w:val="FirstParagraph"/>
      </w:pPr>
      <w:r>
        <w:t xml:space="preserve">To ensure robust academic rigor, a mixed-methods approach was employed across various field sites within the Greater Guangzhou area. The methodology for this Biological assessment includes:</w:t>
      </w:r>
    </w:p>
    <w:p>
      <w:pPr>
        <w:numPr>
          <w:ilvl w:val="0"/>
          <w:numId w:val="1001"/>
        </w:numPr>
        <w:pStyle w:val="Compact"/>
      </w:pPr>
      <w:r>
        <w:rPr>
          <w:bCs/>
          <w:b/>
        </w:rPr>
        <w:t xml:space="preserve">Spatial Sampling Design:</w:t>
      </w:r>
      <w:r>
        <w:t xml:space="preserve"> </w:t>
      </w:r>
      <w:r>
        <w:t xml:space="preserve">A stratified random sampling technique was used to collect leaf and soil samples from five distinct transects across the Nansha Wetland. This ensures representation of both high-pollution industrial edges and pristine core conservation areas.</w:t>
      </w:r>
    </w:p>
    <w:p>
      <w:pPr>
        <w:numPr>
          <w:ilvl w:val="0"/>
          <w:numId w:val="1001"/>
        </w:numPr>
        <w:pStyle w:val="Compact"/>
      </w:pPr>
      <w:r>
        <w:rPr>
          <w:bCs/>
          <w:b/>
        </w:rPr>
        <w:t xml:space="preserve">Genomic Analysis:</w:t>
      </w:r>
      <w:r>
        <w:t xml:space="preserve"> </w:t>
      </w:r>
      <w:r>
        <w:t xml:space="preserve">Extracted DNA was subjected to whole-genome resequencing. Specialized bioinformatic pipelines, developed in collaboration with local tech hubs in Guangzhou, were used to identify Single Nucleotide Polymorphisms (SNPs) associated with stress tolerance.</w:t>
      </w:r>
    </w:p>
    <w:p>
      <w:pPr>
        <w:numPr>
          <w:ilvl w:val="0"/>
          <w:numId w:val="1001"/>
        </w:numPr>
        <w:pStyle w:val="Compact"/>
      </w:pPr>
      <w:r>
        <w:rPr>
          <w:bCs/>
          <w:b/>
        </w:rPr>
        <w:t xml:space="preserve">Ethno-Botanical Surveys:</w:t>
      </w:r>
      <w:r>
        <w:t xml:space="preserve"> </w:t>
      </w:r>
      <w:r>
        <w:t xml:space="preserve">Interviews were conducted with local farmers and historical archivists to reconstruct baseline ecological data from the pre-industrial era, providing a longitudinal perspective on biological change in China.</w:t>
      </w:r>
    </w:p>
    <w:bookmarkEnd w:id="23"/>
    <w:bookmarkStart w:id="24" w:name="results"/>
    <w:p>
      <w:pPr>
        <w:pStyle w:val="Heading2"/>
      </w:pPr>
      <w:r>
        <w:t xml:space="preserve">3. Results</w:t>
      </w:r>
    </w:p>
    <w:p>
      <w:pPr>
        <w:pStyle w:val="FirstParagraph"/>
      </w:pPr>
      <w:r>
        <w:t xml:space="preserve">The findings indicate a significant reduction in genetic diversity among populations located within five kilometers of major urban infrastructure. Specifically, *Avicennia marina* showed a 40% decline in heterozygosity compared to historical baselines. However, an interesting adaptive response was observed: populations near the Pearl River estuary exhibited upregulation of specific ion-transport genes, suggesting rapid micro-evolutionary adaptation to saline intrusion.</w:t>
      </w:r>
    </w:p>
    <w:p>
      <w:pPr>
        <w:pStyle w:val="BodyText"/>
      </w:pPr>
      <w:r>
        <w:t xml:space="preserve">Data visualizations on this poster (Figure 1 and Figure 2) demonstrate a clear correlation between urban heat island effects in Guangzhou and altered flowering phenology. These shifts have cascading effects on pollinator networks, particularly affecting native bee species that are crucial for the region's agricultural health.</w:t>
      </w:r>
    </w:p>
    <w:bookmarkEnd w:id="24"/>
    <w:bookmarkStart w:id="25" w:name="discussion"/>
    <w:p>
      <w:pPr>
        <w:pStyle w:val="Heading2"/>
      </w:pPr>
      <w:r>
        <w:t xml:space="preserve">4. Discussion</w:t>
      </w:r>
    </w:p>
    <w:p>
      <w:pPr>
        <w:pStyle w:val="FirstParagraph"/>
      </w:pPr>
      <w:r>
        <w:t xml:space="preserve">The implications of these findings extend beyond the immediate scope of this study. For a Biologist operating in China Guangzhou, the data suggests that current conservation policies may need to evolve from static protection zones to dynamic management areas that account for climate-induced migration and adaptation.</w:t>
      </w:r>
    </w:p>
    <w:p>
      <w:pPr>
        <w:pStyle w:val="BodyText"/>
      </w:pPr>
      <w:r>
        <w:t xml:space="preserve">We argue that the unique position of Guangzhou allows for a "Living Laboratory" model. By leveraging the city's technological infrastructure alongside its natural reserves, we can pioneer new methods in urban ecology. This approach is particularly relevant for other rapidly developing cities in China facing similar ecological trade-offs.</w:t>
      </w:r>
    </w:p>
    <w:bookmarkEnd w:id="25"/>
    <w:bookmarkStart w:id="26" w:name="conclusion-and-future-directions"/>
    <w:p>
      <w:pPr>
        <w:pStyle w:val="Heading2"/>
      </w:pPr>
      <w:r>
        <w:t xml:space="preserve">5. Conclusion and Future Directions</w:t>
      </w:r>
    </w:p>
    <w:p>
      <w:pPr>
        <w:pStyle w:val="FirstParagraph"/>
      </w:pPr>
      <w:r>
        <w:t xml:space="preserve">This poster presentation underscores the urgent need for integrated biological research that bridges the gap between molecular genetics and landscape ecology. The health of Guangzhou's wetlands is inextricably linked to the broader ecological stability of Southern China.</w:t>
      </w:r>
    </w:p>
    <w:p>
      <w:pPr>
        <w:pStyle w:val="BodyText"/>
      </w:pPr>
      <w:r>
        <w:t xml:space="preserve">Future work will focus on seed banking initiatives involving local universities and extending genomic monitoring to include aquatic fauna. As we look toward 2030, the goal is to establish a standardized protocol for "Smart Conservation" that can be replicated across other major Chinese metropolitan areas.</w:t>
      </w:r>
    </w:p>
    <w:bookmarkEnd w:id="26"/>
    <w:bookmarkStart w:id="27" w:name="acknowledgements"/>
    <w:p>
      <w:pPr>
        <w:pStyle w:val="Heading2"/>
      </w:pPr>
      <w:r>
        <w:t xml:space="preserve">Acknowledgements</w:t>
      </w:r>
    </w:p>
    <w:p>
      <w:pPr>
        <w:pStyle w:val="FirstParagraph"/>
      </w:pPr>
      <w:r>
        <w:t xml:space="preserve">We thank the Guangzhou Forestry Bureau and the National Natural Science Foundation of China for their support. Special thanks to our field team of graduate students who endured the humidity and mosquitoes to collect these vital data points.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Biodiversity and Conservation Strategies in Southern China</dc:title>
  <dc:creator/>
  <dc:language>en</dc:language>
  <cp:keywords/>
  <dcterms:created xsi:type="dcterms:W3CDTF">2026-07-29T15:47:11Z</dcterms:created>
  <dcterms:modified xsi:type="dcterms:W3CDTF">2026-07-29T15:47:11Z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