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0" w:name="X1f96f3d1ee402180e8cf13ce182c621fb8e4a88"/>
    <w:p>
      <w:pPr>
        <w:pStyle w:val="Heading1"/>
      </w:pPr>
      <w:r>
        <w:t xml:space="preserve">Bridging Traditional Expertise and Modern Innovation in Biological Sciences</w:t>
      </w:r>
    </w:p>
    <w:p>
      <w:pPr>
        <w:pStyle w:val="FirstParagraph"/>
      </w:pPr>
      <w:r>
        <w:t xml:space="preserve">An Academic Poster Presentation Framework for the Biologist Community in Germany Munich</w:t>
      </w:r>
    </w:p>
    <w:bookmarkEnd w:id="20"/>
    <w:bookmarkStart w:id="21" w:name="X16c320b744f5acf2dfce50ff34af0d84d22fa37"/>
    <w:p>
      <w:pPr>
        <w:pStyle w:val="Heading2"/>
      </w:pPr>
      <w:r>
        <w:t xml:space="preserve">Abstract and Introduction: The Role of the Biologist in a Global Hub</w:t>
      </w:r>
    </w:p>
    <w:p>
      <w:pPr>
        <w:pStyle w:val="FirstParagraph"/>
      </w:pPr>
      <w:r>
        <w:t xml:space="preserve">The city of Munich, located in the heart of Bavaria, has evolved into one of Europe’s most significant hubs for life sciences, pharmaceutical research, and biotechnological innovation. Within this vibrant ecosystem, the</w:t>
      </w:r>
      <w:r>
        <w:t xml:space="preserve"> </w:t>
      </w:r>
      <w:r>
        <w:rPr>
          <w:bCs/>
          <w:b/>
        </w:rPr>
        <w:t xml:space="preserve">Biologist</w:t>
      </w:r>
      <w:r>
        <w:t xml:space="preserve"> </w:t>
      </w:r>
      <w:r>
        <w:t xml:space="preserve">plays a pivotal role not merely as a researcher but as a critical innovator who bridges the gap between fundamental biological inquiry and applied technological solutions. This academic poster presentation aims to dissect the multifaceted contributions of modern biologists operating within the specific socio-economic and scientific landscape of</w:t>
      </w:r>
      <w:r>
        <w:t xml:space="preserve"> </w:t>
      </w:r>
      <w:r>
        <w:rPr>
          <w:bCs/>
          <w:b/>
        </w:rPr>
        <w:t xml:space="preserve">Germany Munich</w:t>
      </w:r>
      <w:r>
        <w:t xml:space="preserve">. By examining case studies, institutional frameworks, and collaborative networks, we highlight how biological expertise is being leveraged to address contemporary challenges in healthcare, environmental sustainability, and agricultural resilience.</w:t>
      </w:r>
    </w:p>
    <w:p>
      <w:pPr>
        <w:pStyle w:val="BodyText"/>
      </w:pPr>
      <w:r>
        <w:t xml:space="preserve">Munich’s unique position as a home to prestigious institutions such as the Technical University of Munich (TUM), Ludwig-Maximilians-Universität München (LMU), and leading corporate entities like Siemens Healthineers and Bosch creates a fertile ground for interdisciplinary work. The poster outlines the trajectory of biological research in this region, emphasizing the shift from purely observational science to data-driven, computational biology. This transition is crucial for understanding how</w:t>
      </w:r>
      <w:r>
        <w:t xml:space="preserve"> </w:t>
      </w:r>
      <w:r>
        <w:rPr>
          <w:bCs/>
          <w:b/>
        </w:rPr>
        <w:t xml:space="preserve">Biologist</w:t>
      </w:r>
      <w:r>
        <w:t xml:space="preserve"> </w:t>
      </w:r>
      <w:r>
        <w:t xml:space="preserve">professionals are adapting their methodologies to meet the rigorous demands of international scientific standards while maintaining strong local roots in</w:t>
      </w:r>
      <w:r>
        <w:t xml:space="preserve"> </w:t>
      </w:r>
      <w:r>
        <w:rPr>
          <w:bCs/>
          <w:b/>
        </w:rPr>
        <w:t xml:space="preserve">Germany Munich</w:t>
      </w:r>
      <w:r>
        <w:t xml:space="preserve">.</w:t>
      </w:r>
    </w:p>
    <w:bookmarkEnd w:id="21"/>
    <w:bookmarkStart w:id="22" w:name="Xd989bf54fd250f6cc0e89ecc65f64660cc33b45"/>
    <w:p>
      <w:pPr>
        <w:pStyle w:val="Heading2"/>
      </w:pPr>
      <w:r>
        <w:t xml:space="preserve">The Institutional Landscape: Research Infrastructure and Collaboration</w:t>
      </w:r>
    </w:p>
    <w:p>
      <w:pPr>
        <w:pStyle w:val="FirstParagraph"/>
      </w:pPr>
      <w:r>
        <w:t xml:space="preserve">A key component of this presentation is the analysis of the institutional infrastructure that supports biological research in Munich. The presence of world-class facilities, such as the Helmholtz Centre for Environmental Research (UFZ) branches and various Max Planck Institutes, provides</w:t>
      </w:r>
      <w:r>
        <w:t xml:space="preserve"> </w:t>
      </w:r>
      <w:r>
        <w:rPr>
          <w:bCs/>
          <w:b/>
        </w:rPr>
        <w:t xml:space="preserve">Biologist</w:t>
      </w:r>
      <w:r>
        <w:t xml:space="preserve"> </w:t>
      </w:r>
      <w:r>
        <w:t xml:space="preserve">researchers with unparalleled access to advanced instrumentation and genomic databases. This poster details how these institutions foster cross-pollination between academia and industry.</w:t>
      </w:r>
    </w:p>
    <w:p>
      <w:pPr>
        <w:pStyle w:val="BodyText"/>
      </w:pPr>
      <w:r>
        <w:t xml:space="preserve">In</w:t>
      </w:r>
      <w:r>
        <w:t xml:space="preserve"> </w:t>
      </w:r>
      <w:r>
        <w:rPr>
          <w:bCs/>
          <w:b/>
        </w:rPr>
        <w:t xml:space="preserve">Germany Munich</w:t>
      </w:r>
      <w:r>
        <w:t xml:space="preserve">, the collaboration is not unidirectional; it is a dynamic exchange. Industry partners provide real-world problems that drive academic inquiry, while university researchers offer theoretical frameworks and experimental validation. For instance, recent initiatives in synthetic biology have been significantly boosted by funding from both the Bavarian state government and private venture capital firms based in Munich. This synergy allows</w:t>
      </w:r>
      <w:r>
        <w:t xml:space="preserve"> </w:t>
      </w:r>
      <w:r>
        <w:rPr>
          <w:bCs/>
          <w:b/>
        </w:rPr>
        <w:t xml:space="preserve">Biologist</w:t>
      </w:r>
      <w:r>
        <w:t xml:space="preserve"> </w:t>
      </w:r>
      <w:r>
        <w:t xml:space="preserve">teams to accelerate the translation of laboratory discoveries into clinical applications or industrial processes, a phenomenon referred to as "valley of death" bridging in biotech development.</w:t>
      </w:r>
    </w:p>
    <w:p>
      <w:pPr>
        <w:pStyle w:val="BodyText"/>
      </w:pPr>
      <w:r>
        <w:t xml:space="preserve">The poster also highlights specific networking events and symposia held annually in Munich, such as the BioMed Conference and various academic workshops at TUM. These forums are essential for the professional development of</w:t>
      </w:r>
      <w:r>
        <w:t xml:space="preserve"> </w:t>
      </w:r>
      <w:r>
        <w:rPr>
          <w:bCs/>
          <w:b/>
        </w:rPr>
        <w:t xml:space="preserve">Biologist</w:t>
      </w:r>
      <w:r>
        <w:t xml:space="preserve"> </w:t>
      </w:r>
      <w:r>
        <w:t xml:space="preserve">professionals, facilitating peer review, mentorship, and the establishment of new collaborative projects that extend beyond local boundaries to influence global biological standards.</w:t>
      </w:r>
    </w:p>
    <w:bookmarkEnd w:id="22"/>
    <w:bookmarkStart w:id="23" w:name="Xcffbf304998efc27e14f18b4125ef2281feb1ee"/>
    <w:p>
      <w:pPr>
        <w:pStyle w:val="Heading2"/>
      </w:pPr>
      <w:r>
        <w:t xml:space="preserve">Sustainability and Environmental Biology: A Munich Perspective</w:t>
      </w:r>
    </w:p>
    <w:p>
      <w:pPr>
        <w:pStyle w:val="FirstParagraph"/>
      </w:pPr>
      <w:r>
        <w:t xml:space="preserve">Beyond medicine and industry,</w:t>
      </w:r>
      <w:r>
        <w:t xml:space="preserve"> </w:t>
      </w:r>
      <w:r>
        <w:rPr>
          <w:bCs/>
          <w:b/>
        </w:rPr>
        <w:t xml:space="preserve">Biologist</w:t>
      </w:r>
      <w:r>
        <w:t xml:space="preserve"> </w:t>
      </w:r>
      <w:r>
        <w:t xml:space="preserve">expertise is increasingly vital in addressing environmental challenges. Munich’s commitment to sustainability, reflected in its green city planning initiatives, provides a living laboratory for ecological studies. This section of the poster presents findings on urban biodiversity conservation efforts led by local biological institutes.</w:t>
      </w:r>
    </w:p>
    <w:p>
      <w:pPr>
        <w:pStyle w:val="BodyText"/>
      </w:pPr>
      <w:r>
        <w:t xml:space="preserve">We examine how</w:t>
      </w:r>
      <w:r>
        <w:t xml:space="preserve"> </w:t>
      </w:r>
      <w:r>
        <w:rPr>
          <w:bCs/>
          <w:b/>
        </w:rPr>
        <w:t xml:space="preserve">Biologist</w:t>
      </w:r>
      <w:r>
        <w:t xml:space="preserve"> </w:t>
      </w:r>
      <w:r>
        <w:t xml:space="preserve">researchers are utilizing remote sensing data and citizen science platforms to monitor air quality impacts on local flora and fauna in</w:t>
      </w:r>
      <w:r>
        <w:t xml:space="preserve"> </w:t>
      </w:r>
      <w:r>
        <w:rPr>
          <w:bCs/>
          <w:b/>
        </w:rPr>
        <w:t xml:space="preserve">Germany Munich</w:t>
      </w:r>
      <w:r>
        <w:t xml:space="preserve">. The integration of biological monitoring with urban policy-making is a standout feature of Munich’s environmental strategy. By presenting longitudinal data on soil health and water purity, the poster demonstrates how scientific rigor informs public policy. This approach ensures that biological insights are not confined to academic journals but are actively shaping the regulatory frameworks that govern environmental protection in Bavaria and beyond.</w:t>
      </w:r>
    </w:p>
    <w:bookmarkEnd w:id="23"/>
    <w:bookmarkStart w:id="24" w:name="Xf2f984d351f8b4209c72cc0b61f493f91364a15"/>
    <w:p>
      <w:pPr>
        <w:pStyle w:val="Heading2"/>
      </w:pPr>
      <w:r>
        <w:t xml:space="preserve">Data Science and Computational Biology: The New Frontier</w:t>
      </w:r>
    </w:p>
    <w:p>
      <w:pPr>
        <w:pStyle w:val="FirstParagraph"/>
      </w:pPr>
      <w:r>
        <w:t xml:space="preserve">The modern</w:t>
      </w:r>
      <w:r>
        <w:t xml:space="preserve"> </w:t>
      </w:r>
      <w:r>
        <w:rPr>
          <w:bCs/>
          <w:b/>
        </w:rPr>
        <w:t xml:space="preserve">Biologist</w:t>
      </w:r>
      <w:r>
        <w:t xml:space="preserve"> </w:t>
      </w:r>
      <w:r>
        <w:t xml:space="preserve">is no longer limited to the wet lab. A significant portion of this poster presentation is dedicated to the rise of computational biology and bioinformatics in Munich. With the generation of massive datasets from next-generation sequencing, there is an urgent need for researchers who possess dual competencies in biological theory and data science.</w:t>
      </w:r>
    </w:p>
    <w:p>
      <w:pPr>
        <w:pStyle w:val="BodyText"/>
      </w:pPr>
      <w:r>
        <w:t xml:space="preserve">We showcase projects where</w:t>
      </w:r>
      <w:r>
        <w:t xml:space="preserve"> </w:t>
      </w:r>
      <w:r>
        <w:rPr>
          <w:bCs/>
          <w:b/>
        </w:rPr>
        <w:t xml:space="preserve">Biologist</w:t>
      </w:r>
      <w:r>
        <w:t xml:space="preserve"> </w:t>
      </w:r>
      <w:r>
        <w:t xml:space="preserve">teams have employed machine learning algorithms to predict protein folding structures and model disease progression pathways. These innovations, developed within the high-tech environment of</w:t>
      </w:r>
      <w:r>
        <w:t xml:space="preserve"> </w:t>
      </w:r>
      <w:r>
        <w:rPr>
          <w:bCs/>
          <w:b/>
        </w:rPr>
        <w:t xml:space="preserve">Germany Munich</w:t>
      </w:r>
      <w:r>
        <w:t xml:space="preserve">, exemplify the convergence of biology and computer science. The poster includes visual representations of complex data models, illustrating how algorithmic efficiency enhances biological understanding. This shift underscores the evolving skill set required for contemporary biologists, emphasizing programming proficiency alongside traditional laboratory techniques.</w:t>
      </w:r>
    </w:p>
    <w:bookmarkEnd w:id="24"/>
    <w:bookmarkStart w:id="25" w:name="Xf99e48b0dc853fc98861bbc4e5635aeaaa30345"/>
    <w:p>
      <w:pPr>
        <w:pStyle w:val="Heading2"/>
      </w:pPr>
      <w:r>
        <w:t xml:space="preserve">Ethical Considerations and Public Engagement</w:t>
      </w:r>
    </w:p>
    <w:p>
      <w:pPr>
        <w:pStyle w:val="FirstParagraph"/>
      </w:pPr>
      <w:r>
        <w:t xml:space="preserve">Biological research, particularly in areas such as gene editing and stem cell therapy, carries profound ethical implications. This segment of the poster addresses the role of the</w:t>
      </w:r>
      <w:r>
        <w:t xml:space="preserve"> </w:t>
      </w:r>
      <w:r>
        <w:rPr>
          <w:bCs/>
          <w:b/>
        </w:rPr>
        <w:t xml:space="preserve">Biologist</w:t>
      </w:r>
      <w:r>
        <w:t xml:space="preserve"> </w:t>
      </w:r>
      <w:r>
        <w:t xml:space="preserve">in navigating ethical landscapes. In</w:t>
      </w:r>
      <w:r>
        <w:t xml:space="preserve"> </w:t>
      </w:r>
      <w:r>
        <w:rPr>
          <w:bCs/>
          <w:b/>
        </w:rPr>
        <w:t xml:space="preserve">Germany Munich</w:t>
      </w:r>
      <w:r>
        <w:t xml:space="preserve">, strong regulatory bodies ensure that all biological experiments adhere to strict moral guidelines. The presentation discusses how academic institutions engage with the public to demystify complex biological concepts and foster informed debate.</w:t>
      </w:r>
    </w:p>
    <w:p>
      <w:pPr>
        <w:pStyle w:val="BodyText"/>
      </w:pPr>
      <w:r>
        <w:t xml:space="preserve">We argue that effective communication is a core competency for the modern</w:t>
      </w:r>
      <w:r>
        <w:t xml:space="preserve"> </w:t>
      </w:r>
      <w:r>
        <w:rPr>
          <w:bCs/>
          <w:b/>
        </w:rPr>
        <w:t xml:space="preserve">Biologist</w:t>
      </w:r>
      <w:r>
        <w:t xml:space="preserve">. By organizing public lectures, open lab days, and interactive exhibitions in Munich museums, scientists can bridge the gap between specialized knowledge and public understanding. This transparency builds trust and ensures that scientific advancements are accepted by society. The poster provides examples of successful outreach programs initiated by Munich-based biological societies.</w:t>
      </w:r>
    </w:p>
    <w:bookmarkEnd w:id="25"/>
    <w:bookmarkStart w:id="26" w:name="X3b1d03d324967fa01df875c7df1b5c8a490770c"/>
    <w:p>
      <w:pPr>
        <w:pStyle w:val="Heading2"/>
      </w:pPr>
      <w:r>
        <w:t xml:space="preserve">Conclusion: Future Directions for Biological Excellence in Munich</w:t>
      </w:r>
    </w:p>
    <w:p>
      <w:pPr>
        <w:pStyle w:val="FirstParagraph"/>
      </w:pPr>
      <w:r>
        <w:t xml:space="preserve">In conclusion, this academic poster presentation affirms that</w:t>
      </w:r>
      <w:r>
        <w:t xml:space="preserve"> </w:t>
      </w:r>
      <w:r>
        <w:rPr>
          <w:bCs/>
          <w:b/>
        </w:rPr>
        <w:t xml:space="preserve">Germany Munich</w:t>
      </w:r>
      <w:r>
        <w:t xml:space="preserve"> </w:t>
      </w:r>
      <w:r>
        <w:t xml:space="preserve">remains a premier destination for biological research and innovation. The city’s robust infrastructure, collaborative culture, and commitment to sustainability create an ideal environment for the</w:t>
      </w:r>
      <w:r>
        <w:t xml:space="preserve"> </w:t>
      </w:r>
      <w:r>
        <w:rPr>
          <w:bCs/>
          <w:b/>
        </w:rPr>
        <w:t xml:space="preserve">Biologist</w:t>
      </w:r>
      <w:r>
        <w:t xml:space="preserve">. As we look to the future, the integration of artificial intelligence with biological sciences will likely define the next wave of breakthroughs.</w:t>
      </w:r>
    </w:p>
    <w:p>
      <w:pPr>
        <w:pStyle w:val="BodyText"/>
      </w:pPr>
      <w:r>
        <w:t xml:space="preserve">The findings presented here suggest that continued investment in education and interdisciplinary research is essential. By nurturing a new generation of</w:t>
      </w:r>
      <w:r>
        <w:t xml:space="preserve"> </w:t>
      </w:r>
      <w:r>
        <w:rPr>
          <w:bCs/>
          <w:b/>
        </w:rPr>
        <w:t xml:space="preserve">Biologist</w:t>
      </w:r>
      <w:r>
        <w:t xml:space="preserve"> </w:t>
      </w:r>
      <w:r>
        <w:t xml:space="preserve">professionals who are equipped with both traditional knowledge and digital skills,</w:t>
      </w:r>
      <w:r>
        <w:t xml:space="preserve"> </w:t>
      </w:r>
      <w:r>
        <w:rPr>
          <w:bCs/>
          <w:b/>
        </w:rPr>
        <w:t xml:space="preserve">Germany Munich</w:t>
      </w:r>
      <w:r>
        <w:t xml:space="preserve"> </w:t>
      </w:r>
      <w:r>
        <w:t xml:space="preserve">can sustain its leadership position in the global life sciences sector. This poster serves as a call to action for researchers, policymakers, and educators to collaborate closely in maintaining this trajectory of excellence.</w:t>
      </w:r>
    </w:p>
    <w:p>
      <w:pPr>
        <w:pStyle w:val="BodyText"/>
      </w:pPr>
      <w:r>
        <w:t xml:space="preserve">We invite fellow academics and industry leaders to engage with these findings and contribute to the ongoing discourse on how biology can best serve humanity within the dynamic context of Munich’s scientific community.</w:t>
      </w:r>
    </w:p>
    <w:bookmarkEnd w:id="26"/>
    <w:p>
      <w:pPr>
        <w:pStyle w:val="BodyText"/>
      </w:pPr>
      <w:r>
        <w:rPr>
          <w:bCs/>
          <w:b/>
        </w:rPr>
        <w:t xml:space="preserve">Acknowledgments:</w:t>
      </w:r>
      <w:r>
        <w:t xml:space="preserve"> </w:t>
      </w:r>
      <w:r>
        <w:t xml:space="preserve">We thank the faculty at LMU Munich and TUM for their support, as well as our industry partners in</w:t>
      </w:r>
      <w:r>
        <w:t xml:space="preserve"> </w:t>
      </w:r>
      <w:r>
        <w:rPr>
          <w:bCs/>
          <w:b/>
        </w:rPr>
        <w:t xml:space="preserve">Germany Munich</w:t>
      </w:r>
      <w:r>
        <w:t xml:space="preserve">.</w:t>
      </w:r>
      <w:r>
        <w:br/>
      </w:r>
      <w:r>
        <w:rPr>
          <w:iCs/>
          <w:i/>
        </w:rPr>
        <w:t xml:space="preserve">This document is prepared for academic distribution and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Context of Germany Munich</dc:title>
  <dc:creator/>
  <dc:language>en</dc:language>
  <cp:keywords/>
  <dcterms:created xsi:type="dcterms:W3CDTF">2026-07-29T14:41:53Z</dcterms:created>
  <dcterms:modified xsi:type="dcterms:W3CDTF">2026-07-29T14:41:53Z</dcterms:modified>
</cp:coreProperties>
</file>

<file path=docProps/custom.xml><?xml version="1.0" encoding="utf-8"?>
<Properties xmlns="http://schemas.openxmlformats.org/officeDocument/2006/custom-properties" xmlns:vt="http://schemas.openxmlformats.org/officeDocument/2006/docPropsVTypes"/>
</file>