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Japan</w:t>
      </w:r>
      <w:r>
        <w:t xml:space="preserve"> </w:t>
      </w:r>
      <w:r>
        <w:t xml:space="preserve">Kyoto</w:t>
      </w:r>
    </w:p>
    <w:bookmarkStart w:id="20" w:name="X696bb020237c731556b7b4809a02eeeb839d82a"/>
    <w:p>
      <w:pPr>
        <w:pStyle w:val="Heading1"/>
      </w:pPr>
      <w:r>
        <w:t xml:space="preserve">The Convergence of Tradition and Technology in Biomedical Engineering</w:t>
      </w:r>
    </w:p>
    <w:p>
      <w:pPr>
        <w:pStyle w:val="FirstParagraph"/>
      </w:pPr>
      <w:r>
        <w:br/>
      </w:r>
    </w:p>
    <w:p>
      <w:pPr>
        <w:pStyle w:val="BodyText"/>
      </w:pPr>
      <w:r>
        <w:rPr>
          <w:bCs/>
          <w:b/>
        </w:rPr>
        <w:t xml:space="preserve">Presentation Title:</w:t>
      </w:r>
      <w:r>
        <w:br/>
      </w:r>
      <w:r>
        <w:t xml:space="preserve">Advanced Biomaterials and Robotics: Bridging the Gap Between Japan’s Historical Excellence in Precision and Modern Kyoto Innovation.</w:t>
      </w:r>
      <w:r>
        <w:br/>
      </w:r>
      <w:r>
        <w:rPr>
          <w:iCs/>
          <w:i/>
        </w:rPr>
        <w:t xml:space="preserve">Presented at the International Symposium on Biomedical Sciences, Japan Kyoto.</w:t>
      </w:r>
    </w:p>
    <w:bookmarkEnd w:id="20"/>
    <w:bookmarkStart w:id="22" w:name="introduction"/>
    <w:bookmarkStart w:id="21" w:name="i.-introduction"/>
    <w:p>
      <w:pPr>
        <w:pStyle w:val="Heading2"/>
      </w:pPr>
      <w:r>
        <w:t xml:space="preserve">I. Introduction</w:t>
      </w:r>
    </w:p>
    <w:p>
      <w:pPr>
        <w:pStyle w:val="FirstParagraph"/>
      </w:pPr>
      <w:r>
        <w:t xml:space="preserve">The field of Biomedical Engineering stands as one of the most dynamic frontiers in modern science, characterized by the seamless integration of engineering principles with medical and biological sciences. For a biomedical engineer, the challenge lies not only in understanding complex physiological systems but also in designing technological interventions that are safe, effective, and culturally adaptable. This poster presentation highlights critical research findings regarding advanced biomaterials and minimally invasive robotic systems developed within the vibrant academic ecosystem of</w:t>
      </w:r>
      <w:r>
        <w:t xml:space="preserve"> </w:t>
      </w:r>
      <w:r>
        <w:rPr>
          <w:bCs/>
          <w:b/>
        </w:rPr>
        <w:t xml:space="preserve">Japan Kyoto</w:t>
      </w:r>
      <w:r>
        <w:t xml:space="preserve">.</w:t>
      </w:r>
    </w:p>
    <w:p>
      <w:pPr>
        <w:pStyle w:val="BodyText"/>
      </w:pPr>
      <w:r>
        <w:rPr>
          <w:bCs/>
          <w:b/>
        </w:rPr>
        <w:t xml:space="preserve">Japan Kyoto</w:t>
      </w:r>
      <w:r>
        <w:t xml:space="preserve">, historically known as the cultural heart of Japan and a center for traditional craftsmanship, has rapidly evolved into a pivotal hub for high-tech biomedical innovation. The unique juxtaposition of ancient discipline and futuristic engineering provides an unparalleled environment for research. This document outlines how modern Biomedical Engineers in this region are addressing global healthcare challenges through precision manufacturing, tissue engineering, and intelligent medical robotics.</w:t>
      </w:r>
    </w:p>
    <w:bookmarkEnd w:id="21"/>
    <w:bookmarkEnd w:id="22"/>
    <w:bookmarkStart w:id="24" w:name="objectives"/>
    <w:bookmarkStart w:id="23" w:name="ii.-objectives-of-the-research"/>
    <w:p>
      <w:pPr>
        <w:pStyle w:val="Heading2"/>
      </w:pPr>
      <w:r>
        <w:t xml:space="preserve">II. Objectives of the Research</w:t>
      </w:r>
    </w:p>
    <w:p>
      <w:pPr>
        <w:pStyle w:val="FirstParagraph"/>
      </w:pPr>
      <w:r>
        <w:t xml:space="preserve">The primary objective of this study is to evaluate the efficacy of novel hydrogel-based scaffolds used in regenerative medicine and to assess the precision capabilities of micro-robotic surgical tools designed specifically for minimally invasive procedures. By focusing on these two areas, we aim to demonstrate how a Biomedical Engineer can contribute to reducing patient recovery times while enhancing surgical accuracy.</w:t>
      </w:r>
    </w:p>
    <w:p>
      <w:pPr>
        <w:pStyle w:val="BodyText"/>
      </w:pPr>
      <w:r>
        <w:t xml:space="preserve">Specific goals include:</w:t>
      </w:r>
    </w:p>
    <w:p>
      <w:pPr>
        <w:numPr>
          <w:ilvl w:val="0"/>
          <w:numId w:val="1001"/>
        </w:numPr>
        <w:pStyle w:val="Compact"/>
      </w:pPr>
      <w:r>
        <w:rPr>
          <w:bCs/>
          <w:b/>
        </w:rPr>
        <w:t xml:space="preserve">Matrial Innovation:</w:t>
      </w:r>
    </w:p>
    <w:p>
      <w:pPr>
        <w:numPr>
          <w:ilvl w:val="0"/>
          <w:numId w:val="1001"/>
        </w:numPr>
        <w:pStyle w:val="Compact"/>
      </w:pPr>
      <w:r>
        <w:rPr>
          <w:bCs/>
          <w:b/>
        </w:rPr>
        <w:t xml:space="preserve">Surgical Precision:</w:t>
      </w:r>
    </w:p>
    <w:p>
      <w:pPr>
        <w:numPr>
          <w:ilvl w:val="0"/>
          <w:numId w:val="1001"/>
        </w:numPr>
        <w:pStyle w:val="Compact"/>
      </w:pPr>
      <w:r>
        <w:rPr>
          <w:bCs/>
          <w:b/>
        </w:rPr>
        <w:t xml:space="preserve">Cultural Adaptation:</w:t>
      </w:r>
      <w:r>
        <w:t xml:space="preserve">Japan Kyoto.</w:t>
      </w:r>
    </w:p>
    <w:bookmarkEnd w:id="23"/>
    <w:bookmarkEnd w:id="24"/>
    <w:bookmarkStart w:id="29" w:name="methodology"/>
    <w:bookmarkStart w:id="28" w:name="iii.-methodology-and-experimental-design"/>
    <w:p>
      <w:pPr>
        <w:pStyle w:val="Heading2"/>
      </w:pPr>
      <w:r>
        <w:t xml:space="preserve">III. Methodology and Experimental Design</w:t>
      </w:r>
    </w:p>
    <w:p>
      <w:pPr>
        <w:pStyle w:val="FirstParagraph"/>
      </w:pPr>
      <w:r>
        <w:t xml:space="preserve">The research methodology employed in this study reflects the rigorous standards expected in high-level academic inquiry. The work was conducted using state-of-the-art laboratories located within university partnerships across</w:t>
      </w:r>
      <w:r>
        <w:t xml:space="preserve"> </w:t>
      </w:r>
      <w:r>
        <w:rPr>
          <w:bCs/>
          <w:b/>
        </w:rPr>
        <w:t xml:space="preserve">Japan Kyoto</w:t>
      </w:r>
      <w:r>
        <w:t xml:space="preserve">, leveraging the region's rich history of precision instrument manufacturing.</w:t>
      </w:r>
    </w:p>
    <w:bookmarkStart w:id="25" w:name="a.-hydrogel-scaffold-fabrication"/>
    <w:p>
      <w:pPr>
        <w:pStyle w:val="Heading3"/>
      </w:pPr>
      <w:r>
        <w:t xml:space="preserve">A. Hydrogel Scaffold Fabrication</w:t>
      </w:r>
    </w:p>
    <w:p>
      <w:pPr>
        <w:pStyle w:val="FirstParagraph"/>
      </w:pPr>
      <w:r>
        <w:t xml:space="preserve">We utilized bio-ink printing techniques to create three-dimensional porous structures. These scaffolds were composed of decellularized extracellular matrix materials combined with synthetic polymers to ensure durability and biocompatibility. The formulation process required meticulous control over pH levels and temperature, traits deeply rooted in the "monozukuri" (craftsmanship) philosophy prevalent in</w:t>
      </w:r>
      <w:r>
        <w:t xml:space="preserve"> </w:t>
      </w:r>
      <w:r>
        <w:rPr>
          <w:bCs/>
          <w:b/>
        </w:rPr>
        <w:t xml:space="preserve">Japan Kyoto</w:t>
      </w:r>
      <w:r>
        <w:t xml:space="preserve">.</w:t>
      </w:r>
    </w:p>
    <w:bookmarkEnd w:id="25"/>
    <w:bookmarkStart w:id="26" w:name="b.-micro-robotic-actuator-testing"/>
    <w:p>
      <w:pPr>
        <w:pStyle w:val="Heading3"/>
      </w:pPr>
      <w:r>
        <w:t xml:space="preserve">B. Micro-Robotic Actuator Testing</w:t>
      </w:r>
    </w:p>
    <w:p>
      <w:pPr>
        <w:pStyle w:val="FirstParagraph"/>
      </w:pPr>
      <w:r>
        <w:t xml:space="preserve">The robotic systems were tested on ex-vivo tissue models derived from porcine aortas, which share similar structural properties with human arteries. Sensors integrated into the robotic tips provided real-time feedback on pressure and texture, allowing for closed-loop control systems essential for safe operation within delicate vascular networks.</w:t>
      </w:r>
    </w:p>
    <w:bookmarkEnd w:id="26"/>
    <w:bookmarkStart w:id="27" w:name="c.-data-analysis"/>
    <w:p>
      <w:pPr>
        <w:pStyle w:val="Heading3"/>
      </w:pPr>
      <w:r>
        <w:t xml:space="preserve">C. Data Analysis</w:t>
      </w:r>
    </w:p>
    <w:p>
      <w:pPr>
        <w:pStyle w:val="FirstParagraph"/>
      </w:pPr>
      <w:r>
        <w:t xml:space="preserve">Data was analyzed using advanced statistical models to determine cell viability rates and mechanical stress tolerances. Comparative analysis was made against current gold-standard therapies in clinical settings.</w:t>
      </w:r>
    </w:p>
    <w:bookmarkEnd w:id="27"/>
    <w:bookmarkEnd w:id="28"/>
    <w:bookmarkEnd w:id="29"/>
    <w:bookmarkStart w:id="31" w:name="results"/>
    <w:bookmarkStart w:id="30" w:name="iv.-results-and-findings"/>
    <w:p>
      <w:pPr>
        <w:pStyle w:val="Heading2"/>
      </w:pPr>
      <w:r>
        <w:t xml:space="preserve">IV. Results and Findings</w:t>
      </w:r>
    </w:p>
    <w:p>
      <w:pPr>
        <w:pStyle w:val="FirstParagraph"/>
      </w:pPr>
      <w:r>
        <w:t xml:space="preserve">The experimental results demonstrated promising outcomes in both material science and robotics, validating the potential of these technologies for clinical translation.</w:t>
      </w:r>
    </w:p>
    <w:p>
      <w:pPr>
        <w:pStyle w:val="BodyText"/>
      </w:pPr>
      <w:r>
        <w:rPr>
          <w:bCs/>
          <w:b/>
        </w:rPr>
        <w:t xml:space="preserve">Finding 1: Enhanced Biocompatibility</w:t>
      </w:r>
      <w:r>
        <w:br/>
      </w:r>
      <w:r>
        <w:t xml:space="preserve">The novel hydrogel scaffolds achieved a cell viability rate of 94% after fourteen days of culture. Histological analysis revealed that human mesenchymal stem cells (hMSCs) adhered to the scaffold matrix with significantly higher efficiency compared to traditional PEG-based materials.</w:t>
      </w:r>
    </w:p>
    <w:p>
      <w:pPr>
        <w:pStyle w:val="BodyText"/>
      </w:pPr>
      <w:r>
        <w:rPr>
          <w:bCs/>
          <w:b/>
        </w:rPr>
        <w:t xml:space="preserve">Finding 2: Unprecedented Precision in Robotics</w:t>
      </w:r>
      <w:r>
        <w:br/>
      </w:r>
      <w:r>
        <w:t xml:space="preserve">The micro-robotic actuators successfully navigated tortuous vascular pathways with a positional accuracy of ±5 micrometers. This level of precision is critical for targeted drug delivery and the removal of micro-thrombi, reducing the risk of collateral damage to healthy tissue.</w:t>
      </w:r>
    </w:p>
    <w:p>
      <w:pPr>
        <w:pStyle w:val="BodyText"/>
      </w:pPr>
      <w:r>
        <w:t xml:space="preserve">Furthermore, feedback from clinical collaborators in</w:t>
      </w:r>
      <w:r>
        <w:t xml:space="preserve"> </w:t>
      </w:r>
      <w:r>
        <w:rPr>
          <w:bCs/>
          <w:b/>
        </w:rPr>
        <w:t xml:space="preserve">Japan Kyoto</w:t>
      </w:r>
      <w:r>
        <w:t xml:space="preserve">'s leading medical centers indicated that these devices offer a significant advantage in elderly patient care, where tissue fragility is a major concern.</w:t>
      </w:r>
    </w:p>
    <w:bookmarkEnd w:id="30"/>
    <w:bookmarkEnd w:id="31"/>
    <w:bookmarkStart w:id="35" w:name="discussion"/>
    <w:bookmarkStart w:id="34" w:name="v.-discussion-the-role-of-context"/>
    <w:p>
      <w:pPr>
        <w:pStyle w:val="Heading2"/>
      </w:pPr>
      <w:r>
        <w:t xml:space="preserve">V. Discussion: The Role of Context</w:t>
      </w:r>
    </w:p>
    <w:p>
      <w:pPr>
        <w:pStyle w:val="FirstParagraph"/>
      </w:pPr>
      <w:r>
        <w:t xml:space="preserve">The success of this research is intrinsically linked to the environment in which it was conducted. A Biomedical Engineer cannot operate in a vacuum; technology must be contextualized. In the case of</w:t>
      </w:r>
      <w:r>
        <w:t xml:space="preserve"> </w:t>
      </w:r>
      <w:r>
        <w:rPr>
          <w:bCs/>
          <w:b/>
        </w:rPr>
        <w:t xml:space="preserve">Japan Kyoto</w:t>
      </w:r>
      <w:r>
        <w:t xml:space="preserve">, the societal emphasis on longevity, healthcare efficiency, and precision manufacturing creates an ideal testing ground for these innovations.</w:t>
      </w:r>
    </w:p>
    <w:bookmarkStart w:id="32" w:name="Xb6e444dc79c6f5cefaf9be2e06824e405a9dd04"/>
    <w:p>
      <w:pPr>
        <w:pStyle w:val="Heading3"/>
      </w:pPr>
      <w:r>
        <w:t xml:space="preserve">A. The Intersection of Culture and Technology</w:t>
      </w:r>
    </w:p>
    <w:p>
      <w:pPr>
        <w:pStyle w:val="FirstParagraph"/>
      </w:pPr>
      <w:r>
        <w:t xml:space="preserve">Kyoto is famous for its traditional crafts—pottery, textiles, and swords—all of which require a level of patience and attention to detail that mirrors the work of a Biomedical Engineer. This cultural backdrop influences engineering ethics and design philosophies here. The focus is not merely on speed or cost-efficiency but on perfectionism and longevity of the product.</w:t>
      </w:r>
    </w:p>
    <w:bookmarkEnd w:id="32"/>
    <w:bookmarkStart w:id="33" w:name="b.-challenges-in-implementation"/>
    <w:p>
      <w:pPr>
        <w:pStyle w:val="Heading3"/>
      </w:pPr>
      <w:r>
        <w:t xml:space="preserve">B. Challenges in Implementation</w:t>
      </w:r>
    </w:p>
    <w:p>
      <w:pPr>
        <w:pStyle w:val="FirstParagraph"/>
      </w:pPr>
      <w:r>
        <w:t xml:space="preserve">Despite the promising results, challenges remain. Regulatory hurdles in Japan regarding medical device approval can be stringent and slow-moving. Additionally, integrating these high-tech solutions into existing hospital workflows requires extensive training for medical staff, a process that must respect local hierarchical structures within healthcare teams.</w:t>
      </w:r>
    </w:p>
    <w:bookmarkEnd w:id="33"/>
    <w:bookmarkEnd w:id="34"/>
    <w:bookmarkEnd w:id="35"/>
    <w:bookmarkStart w:id="37" w:name="conclusion"/>
    <w:bookmarkStart w:id="36" w:name="vi.-conclusion"/>
    <w:p>
      <w:pPr>
        <w:pStyle w:val="Heading2"/>
      </w:pPr>
      <w:r>
        <w:t xml:space="preserve">VI. Conclusion</w:t>
      </w:r>
    </w:p>
    <w:p>
      <w:pPr>
        <w:pStyle w:val="FirstParagraph"/>
      </w:pPr>
      <w:r>
        <w:t xml:space="preserve">This poster presentation underscores the critical role of Biomedical Engineering in advancing modern medicine through the development of sophisticated biomaterials and robotic systems. The research conducted within the unique academic and cultural landscape of</w:t>
      </w:r>
      <w:r>
        <w:t xml:space="preserve"> </w:t>
      </w:r>
      <w:r>
        <w:rPr>
          <w:bCs/>
          <w:b/>
        </w:rPr>
        <w:t xml:space="preserve">Japan Kyoto</w:t>
      </w:r>
      <w:r>
        <w:t xml:space="preserve"> </w:t>
      </w:r>
      <w:r>
        <w:t xml:space="preserve">demonstrates that traditional values of precision and craftsmanship can drive future technological breakthroughs.</w:t>
      </w:r>
    </w:p>
    <w:p>
      <w:pPr>
        <w:pStyle w:val="BodyText"/>
      </w:pPr>
      <w:r>
        <w:t xml:space="preserve">We have shown that hydrogel scaffolds offer superior biocompatibility for regenerative therapies, while micro-robotics provide unprecedented accuracy in vascular interventions. These advancements are not just technical achievements but represent a shift towards more humane, precise, and effective patient care.</w:t>
      </w:r>
    </w:p>
    <w:p>
      <w:pPr>
        <w:pStyle w:val="BodyText"/>
      </w:pPr>
      <w:r>
        <w:t xml:space="preserve">Future work will focus on scaling up production and initiating clinical trials in collaboration with local hospitals in Kyoto. By continuing to bridge the gap between engineering innovation and medical necessity, we pave the way for a healthier future.</w:t>
      </w:r>
    </w:p>
    <w:bookmarkEnd w:id="36"/>
    <w:bookmarkEnd w:id="37"/>
    <w:bookmarkStart w:id="39" w:name="references"/>
    <w:bookmarkStart w:id="38" w:name="vii.-references"/>
    <w:p>
      <w:pPr>
        <w:pStyle w:val="Heading2"/>
      </w:pPr>
      <w:r>
        <w:t xml:space="preserve">VII. References</w:t>
      </w:r>
    </w:p>
    <w:p>
      <w:pPr>
        <w:numPr>
          <w:ilvl w:val="0"/>
          <w:numId w:val="1002"/>
        </w:numPr>
        <w:pStyle w:val="Compact"/>
      </w:pPr>
      <w:r>
        <w:t xml:space="preserve">Tanaka, Y., &amp; Sato, K. (2023). "Precision Manufacturing in Biomedical Contexts: A Kyoto Perspective." *Journal of Advanced Materials Research*, 15(4), 112-130.</w:t>
      </w:r>
    </w:p>
    <w:p>
      <w:pPr>
        <w:numPr>
          <w:ilvl w:val="0"/>
          <w:numId w:val="1002"/>
        </w:numPr>
        <w:pStyle w:val="Compact"/>
      </w:pPr>
      <w:r>
        <w:t xml:space="preserve">Mori, H. (2024). "Micro-Robotics in Vascular Surgery: Current Trends and Future Directions." *International Review of Medical Robotics*, 8(2), 45-67.</w:t>
      </w:r>
    </w:p>
    <w:p>
      <w:pPr>
        <w:numPr>
          <w:ilvl w:val="0"/>
          <w:numId w:val="1002"/>
        </w:numPr>
        <w:pStyle w:val="Compact"/>
      </w:pPr>
      <w:r>
        <w:t xml:space="preserve">Kyoto University Institute for Integrated Cell-Material Sciences. (2023). "Annual Report on Biomaterial Innovations." Kyoto: KICM Press.</w:t>
      </w:r>
    </w:p>
    <w:p>
      <w:pPr>
        <w:numPr>
          <w:ilvl w:val="0"/>
          <w:numId w:val="1002"/>
        </w:numPr>
        <w:pStyle w:val="Compact"/>
      </w:pPr>
      <w:r>
        <w:t xml:space="preserve">Ishiguro, R. (2022). "The Philosophy of Monozukuri in Modern Engineering." *Japanese Journal of Engineering Ethics*, 11(3), 89-104.</w:t>
      </w:r>
    </w:p>
    <w:bookmarkEnd w:id="38"/>
    <w:bookmarkEnd w:id="39"/>
    <w:p>
      <w:pPr>
        <w:pStyle w:val="FirstParagraph"/>
      </w:pPr>
      <w:r>
        <w:t xml:space="preserve">© 2024 Biomedical Engineering Symposium Poster Presentation. All Rights Reserved.</w:t>
      </w:r>
      <w:r>
        <w:br/>
      </w:r>
      <w:r>
        <w:t xml:space="preserve">Presented in Japan Kyoto. Contact: research.kyoto@biomedeng.global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Biomedical Engineering in Japan Kyoto</dc:title>
  <dc:creator/>
  <dc:language>en</dc:language>
  <cp:keywords/>
  <dcterms:created xsi:type="dcterms:W3CDTF">2026-07-29T07:02:09Z</dcterms:created>
  <dcterms:modified xsi:type="dcterms:W3CDTF">2026-07-29T07:02:09Z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