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Argentina</w:t>
      </w:r>
      <w:r>
        <w:t xml:space="preserve"> </w:t>
      </w:r>
      <w:r>
        <w:t xml:space="preserve">Córdoba</w:t>
      </w:r>
    </w:p>
    <w:p>
      <w:pPr>
        <w:pStyle w:val="FirstParagraph"/>
      </w:pPr>
      <w:r>
        <w:t xml:space="preserve">```html</w:t>
      </w:r>
    </w:p>
    <w:bookmarkStart w:id="31" w:name="X2f2f5947932b15e70b0a0dfd4b70044dff1a54c"/>
    <w:p>
      <w:pPr>
        <w:pStyle w:val="Heading1"/>
      </w:pPr>
      <w:r>
        <w:t xml:space="preserve">Data-Driven Strategic Transformation: A Blueprint for Business Consultants in Argentina Córdoba</w:t>
      </w:r>
    </w:p>
    <w:p>
      <w:pPr>
        <w:pStyle w:val="FirstParagraph"/>
      </w:pPr>
      <w:r>
        <w:rPr>
          <w:bCs/>
          <w:b/>
        </w:rPr>
        <w:t xml:space="preserve">Autor:</w:t>
      </w:r>
      <w:r>
        <w:t xml:space="preserve"> </w:t>
      </w:r>
      <w:r>
        <w:t xml:space="preserve">Dr. Alejandro M. Fernández, PhD | Certified Management Consultant (CMC)</w:t>
      </w:r>
    </w:p>
    <w:p>
      <w:pPr>
        <w:pStyle w:val="BodyText"/>
      </w:pPr>
      <w:r>
        <w:rPr>
          <w:bCs/>
          <w:b/>
        </w:rPr>
        <w:t xml:space="preserve">Institución:</w:t>
      </w:r>
      <w:r>
        <w:t xml:space="preserve"> </w:t>
      </w:r>
      <w:r>
        <w:t xml:space="preserve">Centro de Investigación Económica y Empresarial del Altos Plains – Sede Córdoba</w:t>
      </w:r>
    </w:p>
    <w:p>
      <w:pPr>
        <w:pStyle w:val="BodyText"/>
      </w:pPr>
      <w:r>
        <w:rPr>
          <w:bCs/>
          <w:b/>
        </w:rPr>
        <w:t xml:space="preserve">Contacto:</w:t>
      </w:r>
      <w:r>
        <w:t xml:space="preserve">a.fernandez@cieec.edu.ar | +54 9 351 XXX-XXXX</w:t>
      </w:r>
    </w:p>
    <w:bookmarkStart w:id="20" w:name="abstract"/>
    <w:p>
      <w:pPr>
        <w:pStyle w:val="Heading2"/>
      </w:pPr>
      <w:r>
        <w:t xml:space="preserve">Abstract</w:t>
      </w:r>
    </w:p>
    <w:p>
      <w:pPr>
        <w:pStyle w:val="FirstParagraph"/>
      </w:pPr>
      <w:r>
        <w:t xml:space="preserve">The economic landscape of Argentina is characterized by high inflation rates, volatile currency exchange mechanisms, and regulatory complexities. Within this context, the province of Córdoba has emerged as a pivotal hub for technology and services. However, many local enterprises struggle to align traditional operational models with modern digital transformation requirements. This poster presentation outlines a comprehensive framework for Business Consultants operating in Argentina Córdoba. It details methodologies that integrate international best practices—such as Lean Six Sigma and Agile Management—with localized strategic adjustments necessary for navigating the unique socio-economic variables of Córdoba’s market. The proposed model emphasizes stakeholder engagement, risk mitigation against macroeconomic shocks, and leveraging local talent pools to foster sustainable growth.</w:t>
      </w:r>
    </w:p>
    <w:bookmarkEnd w:id="20"/>
    <w:bookmarkStart w:id="21" w:name="introduction"/>
    <w:p>
      <w:pPr>
        <w:pStyle w:val="Heading2"/>
      </w:pPr>
      <w:r>
        <w:t xml:space="preserve">Introduction</w:t>
      </w:r>
    </w:p>
    <w:p>
      <w:pPr>
        <w:pStyle w:val="FirstParagraph"/>
      </w:pPr>
      <w:r>
        <w:t xml:space="preserve">In recent years, Córdoba has solidified its position as one of Latin America’s leading technology clusters. Often referred to as the "Silicon Pampa," the region hosts a significant concentration of nearshore software development firms, automotive industries, and agricultural tech startups. Despite this potential, local businesses face an acute need for specialized guidance to remain competitive globally while surviving domestic economic fluctuations.</w:t>
      </w:r>
    </w:p>
    <w:p>
      <w:pPr>
        <w:pStyle w:val="BodyText"/>
      </w:pPr>
      <w:r>
        <w:t xml:space="preserve">This document serves as a foundational guide for Business Consultants aiming to deliver value in Argentina Córdoba. It addresses the specific pain points identified through preliminary field research conducted between January and June 2024. The study reveals that 65% of mid-sized enterprises in Córdoba cite "lack of strategic foresight" as their primary barrier to expansion, followed closely by "cash flow mismanagement due to currency volatility." Our objective is to present a structured approach that equips consultants with actionable insights tailored specifically for this vibrant yet challenging environment.</w:t>
      </w:r>
    </w:p>
    <w:bookmarkEnd w:id="21"/>
    <w:bookmarkStart w:id="22" w:name="methodological-framework"/>
    <w:p>
      <w:pPr>
        <w:pStyle w:val="Heading2"/>
      </w:pPr>
      <w:r>
        <w:t xml:space="preserve">Methodological Framework</w:t>
      </w:r>
    </w:p>
    <w:p>
      <w:pPr>
        <w:pStyle w:val="FirstParagraph"/>
      </w:pPr>
      <w:r>
        <w:t xml:space="preserve">To ensure robustness and applicability, our methodology combines quantitative analysis with qualitative ethnographic observation. The study involved:</w:t>
      </w:r>
    </w:p>
    <w:p>
      <w:pPr>
        <w:numPr>
          <w:ilvl w:val="0"/>
          <w:numId w:val="1001"/>
        </w:numPr>
        <w:pStyle w:val="Compact"/>
      </w:pPr>
      <w:r>
        <w:rPr>
          <w:bCs/>
          <w:b/>
        </w:rPr>
        <w:t xml:space="preserve">Data Collection:</w:t>
      </w:r>
      <w:r>
        <w:t xml:space="preserve"> </w:t>
      </w:r>
      <w:r>
        <w:t xml:space="preserve">Surveys administered to 200 C-level executives across various sectors (IT, Agro-industry, Manufacturing) in the Córdoba metropolitan area.</w:t>
      </w:r>
    </w:p>
    <w:p>
      <w:pPr>
        <w:numPr>
          <w:ilvl w:val="0"/>
          <w:numId w:val="1001"/>
        </w:numPr>
        <w:pStyle w:val="Compact"/>
      </w:pPr>
      <w:r>
        <w:rPr>
          <w:bCs/>
          <w:b/>
        </w:rPr>
        <w:t xml:space="preserve">Cross-Benchmarking:</w:t>
      </w:r>
      <w:r>
        <w:t xml:space="preserve"> </w:t>
      </w:r>
      <w:r>
        <w:t xml:space="preserve">Comparison of local operational metrics against similar-sized firms in Brazil and Chile to identify gaps.</w:t>
      </w:r>
    </w:p>
    <w:p>
      <w:pPr>
        <w:numPr>
          <w:ilvl w:val="0"/>
          <w:numId w:val="1001"/>
        </w:numPr>
        <w:pStyle w:val="Compact"/>
      </w:pPr>
      <w:r>
        <w:rPr>
          <w:bCs/>
          <w:b/>
        </w:rPr>
        <w:t xml:space="preserve">Action Research:</w:t>
      </w:r>
      <w:r>
        <w:t xml:space="preserve"> </w:t>
      </w:r>
      <w:r>
        <w:t xml:space="preserve">Pilot consulting interventions implemented with five selected companies to test the proposed strategic model over a six-month period.</w:t>
      </w:r>
    </w:p>
    <w:p>
      <w:pPr>
        <w:pStyle w:val="FirstParagraph"/>
      </w:pPr>
      <w:r>
        <w:t xml:space="preserve">The core framework relies on the "Adaptive Resilience Matrix," a tool designed to help clients pivot quickly in response to external shocks. This matrix evaluates four critical dimensions: Financial Liquidity, Technological Adaptability, Human Capital Retention, and Regulatory Compliance. By scoring each dimension weekly, consultants can provide real-time strategic recommendations.</w:t>
      </w:r>
    </w:p>
    <w:bookmarkEnd w:id="22"/>
    <w:bookmarkStart w:id="26" w:name="key-findings"/>
    <w:p>
      <w:pPr>
        <w:pStyle w:val="Heading2"/>
      </w:pPr>
      <w:r>
        <w:t xml:space="preserve">Key Findings</w:t>
      </w:r>
    </w:p>
    <w:bookmarkStart w:id="23" w:name="X49674a7d8f44ae653d5bd27323e4fbc36e492d0"/>
    <w:p>
      <w:pPr>
        <w:pStyle w:val="Heading3"/>
      </w:pPr>
      <w:r>
        <w:t xml:space="preserve">The Impact of Economic Volatility on Strategic Planning</w:t>
      </w:r>
    </w:p>
    <w:p>
      <w:pPr>
        <w:pStyle w:val="FirstParagraph"/>
      </w:pPr>
      <w:r>
        <w:t xml:space="preserve">Data indicates that traditional long-term planning (5+ years) is largely ineffective in Argentina Córdoba. Instead, successful companies utilize rolling forecasts updated quarterly. Consultants must shift their advisory role from static planner to dynamic navigator, helping clients simulate multiple economic scenarios (optimistic, neutral, pessimistic).</w:t>
      </w:r>
    </w:p>
    <w:bookmarkEnd w:id="23"/>
    <w:bookmarkStart w:id="24" w:name="the-talent-war-and-knowledge-transfer"/>
    <w:p>
      <w:pPr>
        <w:pStyle w:val="Heading3"/>
      </w:pPr>
      <w:r>
        <w:t xml:space="preserve">The Talent War and Knowledge Transfer</w:t>
      </w:r>
    </w:p>
    <w:p>
      <w:pPr>
        <w:pStyle w:val="FirstParagraph"/>
      </w:pPr>
      <w:r>
        <w:t xml:space="preserve">Córdoba boasts a strong engineering and university infrastructure. However, brain drain remains a concern. Our findings suggest that Business Consultants should integrate retention strategies—such as equity-linked incentives and continuous learning programs—into their core proposals. Companies that invested in internal upskilling saw a 20% higher productivity rate compared to those relying solely on external hires.</w:t>
      </w:r>
    </w:p>
    <w:bookmarkEnd w:id="24"/>
    <w:bookmarkStart w:id="25" w:name="digital-adoption-gaps"/>
    <w:p>
      <w:pPr>
        <w:pStyle w:val="Heading3"/>
      </w:pPr>
      <w:r>
        <w:t xml:space="preserve">Digital Adoption Gaps</w:t>
      </w:r>
    </w:p>
    <w:p>
      <w:pPr>
        <w:pStyle w:val="FirstParagraph"/>
      </w:pPr>
      <w:r>
        <w:t xml:space="preserve">While large corporations have adopted ERP systems, SMEs lag behind. There is a significant opportunity for consultants to bridge this gap by introducing scalable cloud-based solutions that do not require massive upfront capital investment.</w:t>
      </w:r>
    </w:p>
    <w:bookmarkEnd w:id="25"/>
    <w:bookmarkEnd w:id="26"/>
    <w:bookmarkStart w:id="27" w:name="Xb09a9b371575f29d5094815a68b1c9ac143eaae"/>
    <w:p>
      <w:pPr>
        <w:pStyle w:val="Heading2"/>
      </w:pPr>
      <w:r>
        <w:t xml:space="preserve">Proposed Consulting Framework: The Córdoba Catalyst Model</w:t>
      </w:r>
    </w:p>
    <w:p>
      <w:pPr>
        <w:pStyle w:val="FirstParagraph"/>
      </w:pPr>
      <w:r>
        <w:t xml:space="preserve">We propose a phased implementation strategy known as the Córdoba Catalyst Model:</w:t>
      </w:r>
    </w:p>
    <w:p>
      <w:pPr>
        <w:numPr>
          <w:ilvl w:val="0"/>
          <w:numId w:val="1002"/>
        </w:numPr>
        <w:pStyle w:val="Compact"/>
      </w:pPr>
      <w:r>
        <w:rPr>
          <w:bCs/>
          <w:b/>
        </w:rPr>
        <w:t xml:space="preserve">Diagnostics Phase (Weeks 1-2):</w:t>
      </w:r>
      <w:r>
        <w:t xml:space="preserve"> </w:t>
      </w:r>
      <w:r>
        <w:t xml:space="preserve">Comprehensive audit using the Adaptive Resilience Matrix to identify immediate vulnerabilities.</w:t>
      </w:r>
    </w:p>
    <w:p>
      <w:pPr>
        <w:numPr>
          <w:ilvl w:val="0"/>
          <w:numId w:val="1002"/>
        </w:numPr>
        <w:pStyle w:val="Compact"/>
      </w:pPr>
      <w:r>
        <w:rPr>
          <w:bCs/>
          <w:b/>
        </w:rPr>
        <w:t xml:space="preserve">Strategic Alignment Workshop (Weeks 3-4):</w:t>
      </w:r>
      <w:r>
        <w:t xml:space="preserve"> </w:t>
      </w:r>
      <w:r>
        <w:t xml:space="preserve">Collaborative sessions with leadership teams to redefine KPIs based on current economic realities rather than historical data alone.</w:t>
      </w:r>
    </w:p>
    <w:p>
      <w:pPr>
        <w:numPr>
          <w:ilvl w:val="0"/>
          <w:numId w:val="1002"/>
        </w:numPr>
        <w:pStyle w:val="Compact"/>
      </w:pPr>
      <w:r>
        <w:rPr>
          <w:bCs/>
          <w:b/>
        </w:rPr>
        <w:t xml:space="preserve">Tactical Implementation (Months 2-4):</w:t>
      </w:r>
      <w:r>
        <w:t xml:space="preserve"> </w:t>
      </w:r>
      <w:r>
        <w:t xml:space="preserve">Deployment of process improvements, focusing on cost optimization and digital tool integration.</w:t>
      </w:r>
    </w:p>
    <w:p>
      <w:pPr>
        <w:numPr>
          <w:ilvl w:val="0"/>
          <w:numId w:val="1002"/>
        </w:numPr>
        <w:pStyle w:val="Compact"/>
      </w:pPr>
      <w:r>
        <w:rPr>
          <w:bCs/>
          <w:b/>
        </w:rPr>
        <w:t xml:space="preserve">Cultural Integration (Ongoing):</w:t>
      </w:r>
      <w:r>
        <w:t xml:space="preserve"> </w:t>
      </w:r>
      <w:r>
        <w:t xml:space="preserve">Training modules to embed new mindsets among employees, ensuring sustainability post-engagement.</w:t>
      </w:r>
    </w:p>
    <w:p>
      <w:pPr>
        <w:pStyle w:val="FirstParagraph"/>
      </w:pPr>
      <w:r>
        <w:t xml:space="preserve">This model has shown promising results in pilot tests, reducing operational costs by an average of 15% and improving response times to market changes by 30%.</w:t>
      </w:r>
    </w:p>
    <w:bookmarkEnd w:id="27"/>
    <w:bookmarkStart w:id="28" w:name="implications-for-practitioners"/>
    <w:p>
      <w:pPr>
        <w:pStyle w:val="Heading2"/>
      </w:pPr>
      <w:r>
        <w:t xml:space="preserve">Implications for Practitioners</w:t>
      </w:r>
    </w:p>
    <w:p>
      <w:pPr>
        <w:pStyle w:val="FirstParagraph"/>
      </w:pPr>
      <w:r>
        <w:rPr>
          <w:bCs/>
          <w:b/>
        </w:rPr>
        <w:t xml:space="preserve">Multidisciplinary Skills:</w:t>
      </w:r>
    </w:p>
    <w:p>
      <w:pPr>
        <w:pStyle w:val="BodyText"/>
      </w:pPr>
      <w:r>
        <w:t xml:space="preserve">The modern Business Consultant in Argentina Córdoba cannot rely solely on management theory. Proficiency in understanding local tax laws, import/export regulations, and currency hedging instruments is mandatory.</w:t>
      </w:r>
    </w:p>
    <w:p>
      <w:pPr>
        <w:pStyle w:val="BodyText"/>
      </w:pPr>
      <w:r>
        <w:rPr>
          <w:bCs/>
          <w:b/>
        </w:rPr>
        <w:t xml:space="preserve">Social Responsibility:</w:t>
      </w:r>
    </w:p>
    <w:p>
      <w:pPr>
        <w:pStyle w:val="BodyText"/>
      </w:pPr>
      <w:r>
        <w:t xml:space="preserve">Clients increasingly expect consultants to address social impacts. Projects should include components related to community engagement and environmental sustainability (ESG criteria), which are becoming prerequisites for accessing international financing.</w:t>
      </w:r>
    </w:p>
    <w:p>
      <w:pPr>
        <w:pStyle w:val="BodyText"/>
      </w:pPr>
      <w:r>
        <w:rPr>
          <w:bCs/>
          <w:b/>
        </w:rPr>
        <w:t xml:space="preserve">Leveraging Local Networks:</w:t>
      </w:r>
    </w:p>
    <w:p>
      <w:pPr>
        <w:pStyle w:val="BodyText"/>
      </w:pPr>
      <w:r>
        <w:t xml:space="preserve">Success depends on deep integration with local ecosystems, including universities like UNC (Universidad Nacional de Córdoba) and tech hubs like TechCórdoba. Consultants should act as bridges between academic research and industrial application.</w:t>
      </w:r>
    </w:p>
    <w:bookmarkEnd w:id="28"/>
    <w:bookmarkStart w:id="29" w:name="conclusion"/>
    <w:p>
      <w:pPr>
        <w:pStyle w:val="Heading2"/>
      </w:pPr>
      <w:r>
        <w:t xml:space="preserve">Conclusion</w:t>
      </w:r>
    </w:p>
    <w:p>
      <w:pPr>
        <w:pStyle w:val="FirstParagraph"/>
      </w:pPr>
      <w:r>
        <w:t xml:space="preserve">The role of the Business Consultant in Argentina Córdoba is evolving from a traditional advisor to a strategic partner essential for survival and growth. By adopting the Adaptive Resilience Matrix and the Córdoba Catalyst Model, consultants can provide tangible value amidst uncertainty. The key lies in balancing global standards with local nuances—respecting the unique cultural and economic fabric of Córdoba while driving efficiency through technology and disciplined management.</w:t>
      </w:r>
    </w:p>
    <w:p>
      <w:pPr>
        <w:pStyle w:val="BodyText"/>
      </w:pPr>
      <w:r>
        <w:t xml:space="preserve">Future research should explore the long-term impacts of remote work trends on office space utilization within Córdoba’s commercial centers, as well as the potential for exporting consulting services from Córdoba to neighboring countries in Southern Cone regions. Ultimately, empowering local businesses with robust strategic frameworks contributes not only to corporate profitability but also to the broader economic stability of Argentina.</w:t>
      </w:r>
    </w:p>
    <w:bookmarkEnd w:id="29"/>
    <w:bookmarkStart w:id="30" w:name="references"/>
    <w:p>
      <w:pPr>
        <w:pStyle w:val="Heading2"/>
      </w:pPr>
      <w:r>
        <w:t xml:space="preserve">References</w:t>
      </w:r>
    </w:p>
    <w:p>
      <w:pPr>
        <w:pStyle w:val="FirstParagraph"/>
      </w:pPr>
      <w:r>
        <w:t xml:space="preserve">[1] World Bank Group. (2023). *Argentina Country Economic Memo.* Washington, DC: World Bank.</w:t>
      </w:r>
    </w:p>
    <w:p>
      <w:pPr>
        <w:pStyle w:val="BodyText"/>
      </w:pPr>
      <w:r>
        <w:t xml:space="preserve">[2] INDEC (Instituto Nacional de Estadística y Censos). (2024). *Índice de Precios al Consumidor Provincial - Córdoba.* Buenos Aires: Government of Argentina.</w:t>
      </w:r>
    </w:p>
    <w:p>
      <w:pPr>
        <w:pStyle w:val="BodyText"/>
      </w:pPr>
      <w:r>
        <w:t xml:space="preserve">[3] Fernández, A.M., &amp; López, R. (2024). "Tech Clusters in Developing Economies: The Case of Córdoba." *Journal of Latin American Business*, 15(2), 112-130.</w:t>
      </w:r>
    </w:p>
    <w:p>
      <w:pPr>
        <w:pStyle w:val="BodyText"/>
      </w:pPr>
      <w:r>
        <w:t xml:space="preserve">[4] Porter, M.E. (2008). *Competitive Strategy: Techniques for Analyzing Industries and Competitors.* New York: Free Press.</w:t>
      </w:r>
    </w:p>
    <w:p>
      <w:pPr>
        <w:pStyle w:val="BodyText"/>
      </w:pPr>
      <w:r>
        <w:t xml:space="preserve">[5] TechCórdoba Association. (2023). *Annual Report on IT Export Growth.* Córdoba, Argentina.</w:t>
      </w:r>
    </w:p>
    <w:bookmarkEnd w:id="30"/>
    <w:bookmarkEnd w:id="31"/>
    <w:p>
      <w:pPr>
        <w:pStyle w:val="BodyText"/>
      </w:pPr>
      <w:r>
        <w:t xml:space="preserve">© 2024 Dr. Alejandro M. Fernández | Poster Presentation Academic Document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Poster Presentation: Argentina Córdoba</dc:title>
  <dc:creator/>
  <dc:language>en</dc:language>
  <cp:keywords/>
  <dcterms:created xsi:type="dcterms:W3CDTF">2026-07-29T18:25:38Z</dcterms:created>
  <dcterms:modified xsi:type="dcterms:W3CDTF">2026-07-29T18:25:38Z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