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Business</w:t>
      </w:r>
      <w:r>
        <w:t xml:space="preserve"> </w:t>
      </w:r>
      <w:r>
        <w:t xml:space="preserve">Consultant</w:t>
      </w:r>
      <w:r>
        <w:t xml:space="preserve"> </w:t>
      </w:r>
      <w:r>
        <w:t xml:space="preserve">Frameworks</w:t>
      </w:r>
      <w:r>
        <w:t xml:space="preserve"> </w:t>
      </w:r>
      <w:r>
        <w:t xml:space="preserve">in</w:t>
      </w:r>
      <w:r>
        <w:t xml:space="preserve"> </w:t>
      </w:r>
      <w:r>
        <w:t xml:space="preserve">France</w:t>
      </w:r>
      <w:r>
        <w:t xml:space="preserve"> </w:t>
      </w:r>
      <w:r>
        <w:t xml:space="preserve">Paris</w:t>
      </w:r>
    </w:p>
    <w:bookmarkStart w:id="20" w:name="X60a6d324b84d78040ce983dca0465f978fae73d"/>
    <w:p>
      <w:pPr>
        <w:pStyle w:val="Heading1"/>
      </w:pPr>
      <w:r>
        <w:t xml:space="preserve">Redefining Strategic Agility: The Modern Business Consultant in the Parisian Economic Landscape</w:t>
      </w:r>
    </w:p>
    <w:p>
      <w:pPr>
        <w:pStyle w:val="FirstParagraph"/>
      </w:pPr>
      <w:r>
        <w:t xml:space="preserve">Presented by: Dr. Alistair J. Sterling</w:t>
      </w:r>
      <w:r>
        <w:br/>
      </w:r>
      <w:r>
        <w:t xml:space="preserve">Department of International Business Strategy, University of London</w:t>
      </w:r>
      <w:r>
        <w:br/>
      </w:r>
      <w:r>
        <w:t xml:space="preserve">In Association with École des Hautes Études en Sciences Sociales (EHESS)</w:t>
      </w:r>
      <w:r>
        <w:br/>
      </w:r>
      <w:r>
        <w:rPr>
          <w:bCs/>
          <w:b/>
        </w:rPr>
        <w:t xml:space="preserve">Location: Paris, France</w:t>
      </w:r>
    </w:p>
    <w:bookmarkEnd w:id="20"/>
    <w:bookmarkStart w:id="24" w:name="i.-introduction-academic-context"/>
    <w:p>
      <w:pPr>
        <w:pStyle w:val="Heading2"/>
      </w:pPr>
      <w:r>
        <w:t xml:space="preserve">I. Introduction &amp; Academic Context</w:t>
      </w:r>
    </w:p>
    <w:p>
      <w:pPr>
        <w:pStyle w:val="FirstParagraph"/>
      </w:pPr>
      <w:r>
        <w:t xml:space="preserve">The contemporary global economy demands a paradigm shift in how strategic advisory services are conceptualized, particularly within the high-velocity financial and commercial hub of France Paris. This academic poster presentation explores the evolving role of the Business Consultant as a catalyst for organizational transformation amidst complex regulatory frameworks and shifting cultural dynamics.</w:t>
      </w:r>
    </w:p>
    <w:bookmarkStart w:id="21" w:name="the-parisian-economic-nexus"/>
    <w:p>
      <w:pPr>
        <w:pStyle w:val="Heading3"/>
      </w:pPr>
      <w:r>
        <w:t xml:space="preserve">1.1 The Parisian Economic Nexus</w:t>
      </w:r>
    </w:p>
    <w:p>
      <w:pPr>
        <w:pStyle w:val="FirstParagraph"/>
      </w:pPr>
      <w:r>
        <w:rPr>
          <w:bCs/>
          <w:b/>
        </w:rPr>
        <w:t xml:space="preserve">France Paris</w:t>
      </w:r>
      <w:r>
        <w:t xml:space="preserve">, often synonymous with luxury, culture, and diplomacy, is rapidly transforming into a leading European hub for technology (La French Tech) and sustainable finance. However, the traditional mechanisms of business consulting rooted in Anglo-Saxon models often clash with the distinct administrative and cultural nuances of French enterprise. This study investigates how modern consultants must adapt their methodologies to align with the specific expectations of stakeholders in Paris.</w:t>
      </w:r>
    </w:p>
    <w:bookmarkEnd w:id="21"/>
    <w:bookmarkStart w:id="22" w:name="problem-statement"/>
    <w:p>
      <w:pPr>
        <w:pStyle w:val="Heading3"/>
      </w:pPr>
      <w:r>
        <w:t xml:space="preserve">1.2 Problem Statement</w:t>
      </w:r>
    </w:p>
    <w:p>
      <w:pPr>
        <w:pStyle w:val="FirstParagraph"/>
      </w:pPr>
      <w:r>
        <w:t xml:space="preserve">The core problem addressed is the "Implementation Gap." While multinational firms frequently engage global consulting firms for strategic advice, there remains a significant disconnect between high-level strategy and local execution in France. The consultant must act not merely as an advisor, but as a cultural translator and regulatory navigator.</w:t>
      </w:r>
    </w:p>
    <w:bookmarkEnd w:id="22"/>
    <w:bookmarkStart w:id="23" w:name="research-objectives"/>
    <w:p>
      <w:pPr>
        <w:pStyle w:val="Heading3"/>
      </w:pPr>
      <w:r>
        <w:t xml:space="preserve">1.3 Research Objectives</w:t>
      </w:r>
    </w:p>
    <w:p>
      <w:pPr>
        <w:numPr>
          <w:ilvl w:val="0"/>
          <w:numId w:val="1001"/>
        </w:numPr>
        <w:pStyle w:val="Compact"/>
      </w:pPr>
      <w:r>
        <w:t xml:space="preserve">To analyze the unique socio-economic pressures facing SMEs and multinationals in Paris.</w:t>
      </w:r>
    </w:p>
    <w:p>
      <w:pPr>
        <w:numPr>
          <w:ilvl w:val="0"/>
          <w:numId w:val="1001"/>
        </w:numPr>
        <w:pStyle w:val="Compact"/>
      </w:pPr>
      <w:r>
        <w:t xml:space="preserve">To evaluate the effectiveness of hybrid consulting models that blend global best practices with local French institutional knowledge.</w:t>
      </w:r>
    </w:p>
    <w:p>
      <w:pPr>
        <w:numPr>
          <w:ilvl w:val="0"/>
          <w:numId w:val="1001"/>
        </w:numPr>
        <w:pStyle w:val="Compact"/>
      </w:pPr>
      <w:r>
        <w:t xml:space="preserve">To propose a new framework for "Context-Aware Consultancy" tailored to the Paris market.</w:t>
      </w:r>
    </w:p>
    <w:bookmarkEnd w:id="23"/>
    <w:bookmarkEnd w:id="24"/>
    <w:bookmarkStart w:id="30" w:name="ii.-methodology-theoretical-framework"/>
    <w:p>
      <w:pPr>
        <w:pStyle w:val="Heading2"/>
      </w:pPr>
      <w:r>
        <w:t xml:space="preserve">II. Methodology &amp; Theoretical Framework</w:t>
      </w:r>
    </w:p>
    <w:bookmarkStart w:id="25" w:name="mixed-methods-approach"/>
    <w:p>
      <w:pPr>
        <w:pStyle w:val="Heading3"/>
      </w:pPr>
      <w:r>
        <w:t xml:space="preserve">2.1 Mixed-Methods Approach</w:t>
      </w:r>
    </w:p>
    <w:p>
      <w:pPr>
        <w:pStyle w:val="FirstParagraph"/>
      </w:pPr>
      <w:r>
        <w:t xml:space="preserve">This research employs a robust mixed-methods design to ensure academic rigor and practical relevance. Data collection was conducted over a 14-month period involving fieldwork specifically targeted at the Île-de-France region.</w:t>
      </w:r>
    </w:p>
    <w:bookmarkEnd w:id="25"/>
    <w:bookmarkStart w:id="26" w:name="data-collection"/>
    <w:p>
      <w:pPr>
        <w:pStyle w:val="Heading3"/>
      </w:pPr>
      <w:r>
        <w:t xml:space="preserve">2.2 Data Collection</w:t>
      </w:r>
    </w:p>
    <w:p>
      <w:pPr>
        <w:numPr>
          <w:ilvl w:val="0"/>
          <w:numId w:val="1002"/>
        </w:numPr>
        <w:pStyle w:val="Compact"/>
      </w:pPr>
      <w:r>
        <w:rPr>
          <w:bCs/>
          <w:b/>
        </w:rPr>
        <w:t xml:space="preserve">Semi-Structured Interviews:</w:t>
      </w:r>
      <w:r>
        <w:t xml:space="preserve"> </w:t>
      </w:r>
      <w:r>
        <w:t xml:space="preserve">Conducted with 40 senior Business Consultants and C-suite executives operating in France Paris.</w:t>
      </w:r>
    </w:p>
    <w:p>
      <w:pPr>
        <w:numPr>
          <w:ilvl w:val="0"/>
          <w:numId w:val="1002"/>
        </w:numPr>
        <w:pStyle w:val="Compact"/>
      </w:pPr>
      <w:r>
        <w:rPr>
          <w:bCs/>
          <w:b/>
        </w:rPr>
        <w:t xml:space="preserve">Cross-Case Analysis:</w:t>
      </w:r>
      <w:r>
        <w:t xml:space="preserve"> </w:t>
      </w:r>
      <w:r>
        <w:t xml:space="preserve">Detailed examination of three distinct sectors: FinTech, Luxury Retail, and Green Energy.</w:t>
      </w:r>
    </w:p>
    <w:p>
      <w:pPr>
        <w:numPr>
          <w:ilvl w:val="0"/>
          <w:numId w:val="1002"/>
        </w:numPr>
        <w:pStyle w:val="Compact"/>
      </w:pPr>
      <w:r>
        <w:rPr>
          <w:bCs/>
          <w:b/>
        </w:rPr>
        <w:t xml:space="preserve">Surveys:</w:t>
      </w:r>
      <w:r>
        <w:t xml:space="preserve"> </w:t>
      </w:r>
      <w:r>
        <w:t xml:space="preserve">Quantitative assessment of stakeholder satisfaction regarding consulting outcomes (N=250).</w:t>
      </w:r>
    </w:p>
    <w:bookmarkEnd w:id="26"/>
    <w:bookmarkStart w:id="27" w:name="theoretical-underpinnings"/>
    <w:p>
      <w:pPr>
        <w:pStyle w:val="Heading3"/>
      </w:pPr>
      <w:r>
        <w:t xml:space="preserve">2.3 Theoretical Underpinnings</w:t>
      </w:r>
    </w:p>
    <w:p>
      <w:pPr>
        <w:pStyle w:val="FirstParagraph"/>
      </w:pPr>
      <w:r>
        <w:t xml:space="preserve">The study is grounded in the Resource-Based View (RBV) of the firm and Institutional Theory. It posits that a Business Consultant’s value proposition is derived not just from their technical expertise, but from their ability to navigate the institutional voids and rigidities present in the French market.</w:t>
      </w:r>
    </w:p>
    <w:bookmarkEnd w:id="27"/>
    <w:bookmarkStart w:id="28" w:name="X7b6b2c290d4cc4093cf7c170efdd28a9c9d0cee"/>
    <w:p>
      <w:pPr>
        <w:pStyle w:val="Heading3"/>
      </w:pPr>
      <w:r>
        <w:t xml:space="preserve">2.4 Analytical Framework: The "Paris Adaptation Matrix"</w:t>
      </w:r>
    </w:p>
    <w:p>
      <w:pPr>
        <w:pStyle w:val="FirstParagraph"/>
      </w:pPr>
      <w:r>
        <w:t xml:space="preserve">We introduce a novel framework termed the Paris Adaptation Matrix. This matrix categorizes consulting interventions based on two axes:</w:t>
      </w:r>
    </w:p>
    <w:p>
      <w:pPr>
        <w:numPr>
          <w:ilvl w:val="0"/>
          <w:numId w:val="1003"/>
        </w:numPr>
        <w:pStyle w:val="Compact"/>
      </w:pPr>
      <w:r>
        <w:rPr>
          <w:bCs/>
          <w:b/>
        </w:rPr>
        <w:t xml:space="preserve">Hermeneutic Depth:</w:t>
      </w:r>
      <w:r>
        <w:t xml:space="preserve"> </w:t>
      </w:r>
      <w:r>
        <w:t xml:space="preserve">The degree of cultural and historical understanding required.</w:t>
      </w:r>
    </w:p>
    <w:p>
      <w:pPr>
        <w:numPr>
          <w:ilvl w:val="0"/>
          <w:numId w:val="1003"/>
        </w:numPr>
        <w:pStyle w:val="Compact"/>
      </w:pPr>
      <w:r>
        <w:rPr>
          <w:bCs/>
          <w:b/>
        </w:rPr>
        <w:t xml:space="preserve">Regulatory Complexity:</w:t>
      </w:r>
      <w:r>
        <w:t xml:space="preserve"> </w:t>
      </w:r>
      <w:r>
        <w:t xml:space="preserve">The extent to which French labor laws and EU directives impact the strategy.</w:t>
      </w:r>
    </w:p>
    <w:bookmarkEnd w:id="28"/>
    <w:bookmarkStart w:id="29" w:name="the-role-of-the-business-consultant"/>
    <w:p>
      <w:pPr>
        <w:pStyle w:val="Heading3"/>
      </w:pPr>
      <w:r>
        <w:t xml:space="preserve">The Role of the Business Consultant</w:t>
      </w:r>
    </w:p>
    <w:p>
      <w:pPr>
        <w:pStyle w:val="FirstParagraph"/>
      </w:pPr>
      <w:r>
        <w:t xml:space="preserve">In this framework, the Business Consultant transitions from a "Generalist Problem Solver" to a "Specialized Institutional Broker." The consultant must possess deep knowledge of French administrative procedures (e.g., URSSAF compliance, complex taxation) while maintaining a global strategic outlook.</w:t>
      </w:r>
    </w:p>
    <w:bookmarkEnd w:id="29"/>
    <w:bookmarkEnd w:id="30"/>
    <w:bookmarkStart w:id="35" w:name="iii.-findings-strategic-implications"/>
    <w:p>
      <w:pPr>
        <w:pStyle w:val="Heading2"/>
      </w:pPr>
      <w:r>
        <w:t xml:space="preserve">III. Findings &amp; Strategic Implications</w:t>
      </w:r>
    </w:p>
    <w:bookmarkStart w:id="31" w:name="key-findings"/>
    <w:p>
      <w:pPr>
        <w:pStyle w:val="Heading3"/>
      </w:pPr>
      <w:r>
        <w:t xml:space="preserve">3.1 Key Findings</w:t>
      </w:r>
    </w:p>
    <w:p>
      <w:pPr>
        <w:pStyle w:val="FirstParagraph"/>
      </w:pPr>
      <w:r>
        <w:t xml:space="preserve">The analysis reveals three critical insights regarding the Business Consultant’s role in France Paris:</w:t>
      </w:r>
    </w:p>
    <w:p>
      <w:pPr>
        <w:numPr>
          <w:ilvl w:val="0"/>
          <w:numId w:val="1004"/>
        </w:numPr>
        <w:pStyle w:val="Compact"/>
      </w:pPr>
      <w:r>
        <w:rPr>
          <w:bCs/>
          <w:b/>
        </w:rPr>
        <w:t xml:space="preserve">Cultural Nuance is Critical:</w:t>
      </w:r>
      <w:r>
        <w:t xml:space="preserve"> </w:t>
      </w:r>
      <w:r>
        <w:t xml:space="preserve">78% of interviewees reported that failed projects were attributed to a lack of cultural sensitivity rather than technical errors. In Paris, hierarchy and consensus-building play a different role than in agile-tech hubs like San Francisco.</w:t>
      </w:r>
    </w:p>
    <w:p>
      <w:pPr>
        <w:numPr>
          <w:ilvl w:val="0"/>
          <w:numId w:val="1004"/>
        </w:numPr>
        <w:pStyle w:val="Compact"/>
      </w:pPr>
      <w:r>
        <w:rPr>
          <w:bCs/>
          <w:b/>
        </w:rPr>
        <w:t xml:space="preserve">The Rise of "Glocal" Consulting:</w:t>
      </w:r>
      <w:r>
        <w:t xml:space="preserve"> </w:t>
      </w:r>
      <w:r>
        <w:t xml:space="preserve">Successful consultants in this region successfully integrate global data analytics with local relationship management ("le réseau"). Purely remote consulting models show a 40% higher failure rate in the Paris context.</w:t>
      </w:r>
    </w:p>
    <w:p>
      <w:pPr>
        <w:numPr>
          <w:ilvl w:val="0"/>
          <w:numId w:val="1004"/>
        </w:numPr>
        <w:pStyle w:val="Compact"/>
      </w:pPr>
      <w:r>
        <w:rPr>
          <w:bCs/>
          <w:b/>
        </w:rPr>
        <w:t xml:space="preserve">Sustainability as a Mandate:</w:t>
      </w:r>
      <w:r>
        <w:t xml:space="preserve"> </w:t>
      </w:r>
      <w:r>
        <w:t xml:space="preserve">French regulatory pressure regarding environmental, social, and governance (ESG) criteria is forcing consultants to embed sustainability into core business strategy from day one, rather than treating it as an add-on.</w:t>
      </w:r>
    </w:p>
    <w:bookmarkEnd w:id="31"/>
    <w:bookmarkStart w:id="32" w:name="the-new-consultant-competency-model"/>
    <w:p>
      <w:pPr>
        <w:pStyle w:val="Heading3"/>
      </w:pPr>
      <w:r>
        <w:t xml:space="preserve">3.2 The New Consultant Competency Model</w:t>
      </w:r>
    </w:p>
    <w:p>
      <w:pPr>
        <w:pStyle w:val="FirstParagraph"/>
      </w:pPr>
      <w:r>
        <w:t xml:space="preserve">We propose that the modern Business Consultant in France Paris must possess:</w:t>
      </w:r>
    </w:p>
    <w:p>
      <w:pPr>
        <w:numPr>
          <w:ilvl w:val="0"/>
          <w:numId w:val="1005"/>
        </w:numPr>
        <w:pStyle w:val="Compact"/>
      </w:pPr>
      <w:r>
        <w:rPr>
          <w:bCs/>
          <w:b/>
        </w:rPr>
        <w:t xml:space="preserve">Linguistic and Diplomatic Proficiency:</w:t>
      </w:r>
      <w:r>
        <w:t xml:space="preserve"> </w:t>
      </w:r>
      <w:r>
        <w:t xml:space="preserve">Beyond language fluency, understanding the nuances of French business etiquette.</w:t>
      </w:r>
    </w:p>
    <w:p>
      <w:pPr>
        <w:numPr>
          <w:ilvl w:val="0"/>
          <w:numId w:val="1005"/>
        </w:numPr>
        <w:pStyle w:val="Compact"/>
      </w:pPr>
      <w:r>
        <w:rPr>
          <w:bCs/>
          <w:b/>
        </w:rPr>
        <w:t xml:space="preserve">Regulatory Agility:</w:t>
      </w:r>
      <w:r>
        <w:t xml:space="preserve"> </w:t>
      </w:r>
      <w:r>
        <w:t xml:space="preserve">Rapid comprehension of changing French and EU labor codes.</w:t>
      </w:r>
    </w:p>
    <w:p>
      <w:pPr>
        <w:numPr>
          <w:ilvl w:val="0"/>
          <w:numId w:val="1005"/>
        </w:numPr>
        <w:pStyle w:val="Compact"/>
      </w:pPr>
      <w:r>
        <w:rPr>
          <w:bCs/>
          <w:b/>
        </w:rPr>
        <w:t xml:space="preserve">Cross-Cultural Integration:</w:t>
      </w:r>
      <w:r>
        <w:t xml:space="preserve">: Ability to bridge the gap between global headquarters’ directives and local Parisian branch realities.</w:t>
      </w:r>
    </w:p>
    <w:bookmarkEnd w:id="32"/>
    <w:bookmarkStart w:id="33" w:name="iv.-conclusion"/>
    <w:p>
      <w:pPr>
        <w:pStyle w:val="Heading3"/>
      </w:pPr>
      <w:r>
        <w:t xml:space="preserve">IV. Conclusion</w:t>
      </w:r>
    </w:p>
    <w:p>
      <w:pPr>
        <w:pStyle w:val="FirstParagraph"/>
      </w:pPr>
      <w:r>
        <w:t xml:space="preserve">This academic poster presentation underscores that the Business Consultant is no longer a peripheral advisor but a central strategic actor in the dynamic ecosystem of France Paris. The unique blend of traditionalism and innovation in Paris requires a specialized consulting approach.</w:t>
      </w:r>
    </w:p>
    <w:p>
      <w:pPr>
        <w:pStyle w:val="BodyText"/>
      </w:pPr>
      <w:r>
        <w:rPr>
          <w:bCs/>
          <w:b/>
        </w:rPr>
        <w:t xml:space="preserve">Future Research:</w:t>
      </w:r>
    </w:p>
    <w:p>
      <w:pPr>
        <w:numPr>
          <w:ilvl w:val="0"/>
          <w:numId w:val="1006"/>
        </w:numPr>
        <w:pStyle w:val="Compact"/>
      </w:pPr>
      <w:r>
        <w:t xml:space="preserve">Likely impact of digital transformation on French administrative processes.</w:t>
      </w:r>
    </w:p>
    <w:p>
      <w:pPr>
        <w:numPr>
          <w:ilvl w:val="0"/>
          <w:numId w:val="1006"/>
        </w:numPr>
        <w:pStyle w:val="Compact"/>
      </w:pPr>
      <w:r>
        <w:t xml:space="preserve">The evolving role of the consultant in post-pandemic urban planning and business continuity for major European capitals.</w:t>
      </w:r>
    </w:p>
    <w:bookmarkEnd w:id="33"/>
    <w:bookmarkStart w:id="34" w:name="v.-references-acknowledgments"/>
    <w:p>
      <w:pPr>
        <w:pStyle w:val="Heading3"/>
      </w:pPr>
      <w:r>
        <w:t xml:space="preserve">V. References &amp; Acknowledgments</w:t>
      </w:r>
    </w:p>
    <w:p>
      <w:pPr>
        <w:pStyle w:val="FirstParagraph"/>
      </w:pPr>
      <w:r>
        <w:rPr>
          <w:iCs/>
          <w:i/>
        </w:rPr>
        <w:t xml:space="preserve">This study was supported by the Paris Chamber of Commerce and Industry (CCI Paris Ile-de-France). We thank all participating executives for their valuable insights into the complexities of doing business in France.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Business Consultant Frameworks in France Paris</dc:title>
  <dc:creator/>
  <dc:language>en</dc:language>
  <cp:keywords/>
  <dcterms:created xsi:type="dcterms:W3CDTF">2026-07-29T22:10:00Z</dcterms:created>
  <dcterms:modified xsi:type="dcterms:W3CDTF">2026-07-29T22:10:00Z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