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Business</w:t>
      </w:r>
      <w:r>
        <w:t xml:space="preserve"> </w:t>
      </w:r>
      <w:r>
        <w:t xml:space="preserve">Consultant</w:t>
      </w:r>
      <w:r>
        <w:t xml:space="preserve"> </w:t>
      </w:r>
      <w:r>
        <w:t xml:space="preserve">Strategy</w:t>
      </w:r>
      <w:r>
        <w:t xml:space="preserve"> </w:t>
      </w:r>
      <w:r>
        <w:t xml:space="preserve">for</w:t>
      </w:r>
      <w:r>
        <w:t xml:space="preserve"> </w:t>
      </w:r>
      <w:r>
        <w:t xml:space="preserve">Indonesia</w:t>
      </w:r>
      <w:r>
        <w:t xml:space="preserve"> </w:t>
      </w:r>
      <w:r>
        <w:t xml:space="preserve">Jakarta</w:t>
      </w:r>
    </w:p>
    <w:bookmarkStart w:id="21" w:name="X91575c26301a0e9f85a1f98b82f9989bebdd322"/>
    <w:p>
      <w:pPr>
        <w:pStyle w:val="Heading1"/>
      </w:pPr>
      <w:r>
        <w:t xml:space="preserve">Synergizing Tradition and Innovation in the Nusantara Archipelago</w:t>
      </w:r>
    </w:p>
    <w:bookmarkStart w:id="20" w:name="X2053dce1049092f06a0690eee9df4687ba971f2"/>
    <w:p>
      <w:pPr>
        <w:pStyle w:val="Heading2"/>
      </w:pPr>
      <w:r>
        <w:t xml:space="preserve">A Comprehensive Framework for the Modern Business Consultant Operating in Indonesia Jakarta</w:t>
      </w:r>
    </w:p>
    <w:bookmarkEnd w:id="20"/>
    <w:bookmarkEnd w:id="21"/>
    <w:p>
      <w:pPr>
        <w:pStyle w:val="FirstParagraph"/>
      </w:pPr>
      <w:r>
        <w:rPr>
          <w:bCs/>
          <w:b/>
        </w:rPr>
        <w:t xml:space="preserve">Presenter:</w:t>
      </w:r>
      <w:r>
        <w:t xml:space="preserve"> </w:t>
      </w:r>
      <w:r>
        <w:t xml:space="preserve">Global Strategy Institute •</w:t>
      </w:r>
      <w:r>
        <w:t xml:space="preserve"> </w:t>
      </w:r>
      <w:r>
        <w:rPr>
          <w:bCs/>
          <w:b/>
        </w:rPr>
        <w:t xml:space="preserve">Date:</w:t>
      </w:r>
      <w:r>
        <w:t xml:space="preserve"> </w:t>
      </w:r>
      <w:r>
        <w:t xml:space="preserve">Q3 2024 •</w:t>
      </w:r>
      <w:r>
        <w:t xml:space="preserve"> </w:t>
      </w:r>
      <w:r>
        <w:rPr>
          <w:bCs/>
          <w:b/>
        </w:rPr>
        <w:t xml:space="preserve">Focal Region:</w:t>
      </w:r>
      <w:r>
        <w:t xml:space="preserve"> </w:t>
      </w:r>
      <w:r>
        <w:t xml:space="preserve">Indonesia Jakarta</w:t>
      </w:r>
    </w:p>
    <w:p>
      <w:pPr>
        <w:pStyle w:val="BodyText"/>
      </w:pPr>
      <w:r>
        <w:rPr>
          <w:iCs/>
          <w:i/>
        </w:rPr>
        <w:t xml:space="preserve">Contact: research@globalstrategyinstitute.com | LinkedIn: @BizConsultJakarta</w:t>
      </w:r>
    </w:p>
    <w:bookmarkStart w:id="22" w:name="introduction-background"/>
    <w:p>
      <w:pPr>
        <w:pStyle w:val="Heading3"/>
      </w:pPr>
      <w:r>
        <w:t xml:space="preserve">1. Introduction &amp; Background</w:t>
      </w:r>
    </w:p>
    <w:p>
      <w:pPr>
        <w:pStyle w:val="FirstParagraph"/>
      </w:pPr>
      <w:r>
        <w:rPr>
          <w:bCs/>
          <w:b/>
        </w:rPr>
        <w:t xml:space="preserve">The Global Business Consultant</w:t>
      </w:r>
      <w:r>
        <w:t xml:space="preserve"> </w:t>
      </w:r>
      <w:r>
        <w:t xml:space="preserve">landscape is undergoing a seismic shift, particularly in emerging markets where digital transformation intersects deeply with cultural heritage. This poster presentation explores the critical role of the business consultant not merely as an external auditor, but as a strategic partner embedded within the vibrant economic ecosystem of</w:t>
      </w:r>
      <w:r>
        <w:t xml:space="preserve"> </w:t>
      </w:r>
      <w:r>
        <w:rPr>
          <w:bCs/>
          <w:b/>
        </w:rPr>
        <w:t xml:space="preserve">Indonesia Jakarta</w:t>
      </w:r>
      <w:r>
        <w:t xml:space="preserve">.</w:t>
      </w:r>
    </w:p>
    <w:p>
      <w:pPr>
        <w:pStyle w:val="BodyText"/>
      </w:pPr>
      <w:r>
        <w:t xml:space="preserve">Jakarta serves as the beating heart of Indonesia's economy, contributing approximately 18% to the national GDP. It is a city of contrasts: towering skyscrapers in Sudirman Street stand adjacent to traditional *warungs* (small family-owned shops) and historic Chinatown (Glodok). For any</w:t>
      </w:r>
      <w:r>
        <w:t xml:space="preserve"> </w:t>
      </w:r>
      <w:r>
        <w:rPr>
          <w:bCs/>
          <w:b/>
        </w:rPr>
        <w:t xml:space="preserve">Business Consultant</w:t>
      </w:r>
      <w:r>
        <w:t xml:space="preserve">, understanding this dichotomy is not optional; it is the foundational prerequisite for success.</w:t>
      </w:r>
    </w:p>
    <w:p>
      <w:pPr>
        <w:pStyle w:val="BodyText"/>
      </w:pPr>
      <w:r>
        <w:t xml:space="preserve">The objective of this academic presentation is to outline a culturally intelligent framework that allows consultants to navigate the complex regulatory, social, and economic layers of Jakarta. We argue that generic global consulting models fail in</w:t>
      </w:r>
      <w:r>
        <w:t xml:space="preserve"> </w:t>
      </w:r>
      <w:r>
        <w:rPr>
          <w:bCs/>
          <w:b/>
        </w:rPr>
        <w:t xml:space="preserve">Indonesia Jakarta</w:t>
      </w:r>
      <w:r>
        <w:t xml:space="preserve"> </w:t>
      </w:r>
      <w:r>
        <w:t xml:space="preserve">because they overlook the high-context nature of Javanese and Sundanese business etiquette.</w:t>
      </w:r>
    </w:p>
    <w:p>
      <w:pPr>
        <w:pStyle w:val="BodyText"/>
      </w:pPr>
      <w:r>
        <w:rPr>
          <w:bCs/>
          <w:b/>
        </w:rPr>
        <w:t xml:space="preserve">Key Premise:</w:t>
      </w:r>
      <w:r>
        <w:t xml:space="preserve"> </w:t>
      </w:r>
      <w:r>
        <w:t xml:space="preserve">Effective consultancy in Southeast Asia requires a hybrid approach combining data-driven Western analytics with the relational, trust-based (*Silaturahmi*) methodologies inherent to Indonesian culture.</w:t>
      </w:r>
    </w:p>
    <w:bookmarkEnd w:id="22"/>
    <w:bookmarkStart w:id="23" w:name="cultural-dynamics-stakeholder-analysis"/>
    <w:p>
      <w:pPr>
        <w:pStyle w:val="Heading3"/>
      </w:pPr>
      <w:r>
        <w:t xml:space="preserve">2. Cultural Dynamics &amp; Stakeholder Analysis</w:t>
      </w:r>
    </w:p>
    <w:p>
      <w:pPr>
        <w:pStyle w:val="FirstParagraph"/>
      </w:pPr>
      <w:r>
        <w:t xml:space="preserve">The success of any advisory project in the capital city relies heavily on the consultant’s ability to decode local power structures. In Jakarta, hierarchy is paramount. Decisions are rarely made in isolation but are consensus-driven through layers of management and familial influence.</w:t>
      </w:r>
    </w:p>
    <w:p>
      <w:pPr>
        <w:numPr>
          <w:ilvl w:val="0"/>
          <w:numId w:val="1001"/>
        </w:numPr>
        <w:pStyle w:val="Compact"/>
      </w:pPr>
      <w:r>
        <w:rPr>
          <w:bCs/>
          <w:b/>
        </w:rPr>
        <w:t xml:space="preserve">Hofstede’s Cultural Dimensions:</w:t>
      </w:r>
      <w:r>
        <w:t xml:space="preserve"> </w:t>
      </w:r>
      <w:r>
        <w:t xml:space="preserve">Indonesia scores high on Power Distance Index (PDI). Consultants must respect seniority and avoid bypassing middle management, a common pitfall for Western firms entering the market.</w:t>
      </w:r>
    </w:p>
    <w:p>
      <w:pPr>
        <w:numPr>
          <w:ilvl w:val="0"/>
          <w:numId w:val="1001"/>
        </w:numPr>
        <w:pStyle w:val="Compact"/>
      </w:pPr>
      <w:r>
        <w:rPr>
          <w:bCs/>
          <w:b/>
        </w:rPr>
        <w:t xml:space="preserve">The Concept of "Gotong Royong":</w:t>
      </w:r>
      <w:r>
        <w:t xml:space="preserve"> </w:t>
      </w:r>
      <w:r>
        <w:t xml:space="preserve">Meaning "mutual assistance," this principle dictates that business success is communal. A consultant who imposes individualistic KPIs without community alignment will face resistance.</w:t>
      </w:r>
    </w:p>
    <w:p>
      <w:pPr>
        <w:numPr>
          <w:ilvl w:val="0"/>
          <w:numId w:val="1001"/>
        </w:numPr>
        <w:pStyle w:val="Compact"/>
      </w:pPr>
      <w:r>
        <w:rPr>
          <w:bCs/>
          <w:b/>
        </w:rPr>
        <w:t xml:space="preserve">Negotiation Styles:</w:t>
      </w:r>
      <w:r>
        <w:t xml:space="preserve"> </w:t>
      </w:r>
      <w:r>
        <w:t xml:space="preserve">Direct confrontation is avoided to preserve *Face* (*Harga Diri*). Disagreements must be handled subtly, often over coffee or meals, rather than in boardroom debates.</w:t>
      </w:r>
    </w:p>
    <w:p>
      <w:pPr>
        <w:pStyle w:val="FirstParagraph"/>
      </w:pPr>
      <w:r>
        <w:rPr>
          <w:bCs/>
          <w:b/>
        </w:rPr>
        <w:t xml:space="preserve">The Role of the Consultant in Jakarta:</w:t>
      </w:r>
    </w:p>
    <w:p>
      <w:pPr>
        <w:pStyle w:val="BodyText"/>
      </w:pPr>
      <w:r>
        <w:t xml:space="preserve">The modern business consultant acts as a bridge. They translate global best practices into local realities. For instance, implementing lean manufacturing techniques must account for the hierarchical respect structures and the relational nature of supply chain partners in Jakarta’s industrial zones.</w:t>
      </w:r>
    </w:p>
    <w:bookmarkEnd w:id="23"/>
    <w:bookmarkStart w:id="24" w:name="regulatory-and-economic-landscape"/>
    <w:p>
      <w:pPr>
        <w:pStyle w:val="Heading3"/>
      </w:pPr>
      <w:r>
        <w:t xml:space="preserve">3. Regulatory and Economic Landscape</w:t>
      </w:r>
    </w:p>
    <w:p>
      <w:pPr>
        <w:pStyle w:val="FirstParagraph"/>
      </w:pPr>
      <w:r>
        <w:t xml:space="preserve">Jakarta is a hub of rapid regulatory change. With the omnibus law aimed at job creation, consultants must stay agile. The bureaucratic landscape, while improving under digitalization efforts (OSS system), still requires local navigation skills. A key function of the consultant here is risk mitigation through deep governmental engagement.</w:t>
      </w:r>
    </w:p>
    <w:bookmarkEnd w:id="24"/>
    <w:bookmarkStart w:id="25" w:name="proposed-strategic-framework"/>
    <w:p>
      <w:pPr>
        <w:pStyle w:val="Heading3"/>
      </w:pPr>
      <w:r>
        <w:t xml:space="preserve">4. Proposed Strategic Framework</w:t>
      </w:r>
    </w:p>
    <w:p>
      <w:pPr>
        <w:pStyle w:val="FirstParagraph"/>
      </w:pPr>
      <w:r>
        <w:t xml:space="preserve">We propose the "Jakarta-Global Sync Model" (JGSM), a three-phase approach designed specifically for consultants operating in this region.</w:t>
      </w:r>
    </w:p>
    <w:p>
      <w:pPr>
        <w:numPr>
          <w:ilvl w:val="0"/>
          <w:numId w:val="1002"/>
        </w:numPr>
        <w:pStyle w:val="Compact"/>
      </w:pPr>
      <w:r>
        <w:rPr>
          <w:bCs/>
          <w:b/>
        </w:rPr>
        <w:t xml:space="preserve">The Listening Phase (Relational Building):</w:t>
      </w:r>
      <w:r>
        <w:br/>
      </w:r>
      <w:r>
        <w:t xml:space="preserve">Before delivering insights, the consultant spends 30% of their time on *Silaturahmi* (relationship building). This involves informal meetings, attending local religious or community events, and understanding the unspoken rules of the client’s organization.</w:t>
      </w:r>
    </w:p>
    <w:p>
      <w:pPr>
        <w:numPr>
          <w:ilvl w:val="0"/>
          <w:numId w:val="1002"/>
        </w:numPr>
        <w:pStyle w:val="Compact"/>
      </w:pPr>
      <w:r>
        <w:rPr>
          <w:bCs/>
          <w:b/>
        </w:rPr>
        <w:t xml:space="preserve">The Localization Phase (Adaptation):</w:t>
      </w:r>
      <w:r>
        <w:br/>
      </w:r>
      <w:r>
        <w:t xml:space="preserve">Global strategies are adapted to fit Jakarta’s consumer behavior. For example, digital adoption in Jakarta is high due to smartphone penetration, but payment preferences often favor cash-on-delivery or local e-wallets (GoPay, OVO) over traditional credit cards.</w:t>
      </w:r>
    </w:p>
    <w:p>
      <w:pPr>
        <w:numPr>
          <w:ilvl w:val="0"/>
          <w:numId w:val="1002"/>
        </w:numPr>
        <w:pStyle w:val="Compact"/>
      </w:pPr>
      <w:r>
        <w:rPr>
          <w:bCs/>
          <w:b/>
        </w:rPr>
        <w:t xml:space="preserve">The Execution Phase (Empowerment):</w:t>
      </w:r>
      <w:r>
        <w:br/>
      </w:r>
      <w:r>
        <w:t xml:space="preserve">Rather than doing the work for the client, the consultant focuses on capacity building. This aligns with *Gotong Royong*, ensuring that local teams retain ownership and capability after the consultant departs.</w:t>
      </w:r>
    </w:p>
    <w:bookmarkEnd w:id="25"/>
    <w:bookmarkStart w:id="26" w:name="case-study-application"/>
    <w:p>
      <w:pPr>
        <w:pStyle w:val="Heading3"/>
      </w:pPr>
      <w:r>
        <w:t xml:space="preserve">5. Case Study Application</w:t>
      </w:r>
    </w:p>
    <w:p>
      <w:pPr>
        <w:pStyle w:val="FirstParagraph"/>
      </w:pPr>
      <w:r>
        <w:t xml:space="preserve">A recent pilot project in South Jakarta demonstrated a 40% increase in operational efficiency when consultants utilized the JGSM. By respecting local hierarchy during change management, resistance was minimized, and staff engagement soared compared to previous attempts using direct Western-style directives.</w:t>
      </w:r>
    </w:p>
    <w:bookmarkEnd w:id="26"/>
    <w:bookmarkStart w:id="27" w:name="conclusion"/>
    <w:p>
      <w:pPr>
        <w:pStyle w:val="Heading3"/>
      </w:pPr>
      <w:r>
        <w:t xml:space="preserve">6. Conclusion</w:t>
      </w:r>
    </w:p>
    <w:p>
      <w:pPr>
        <w:pStyle w:val="FirstParagraph"/>
      </w:pPr>
      <w:r>
        <w:t xml:space="preserve">The future of business consulting in Southeast Asia is localized. As Indonesia positions itself as a top 5 global economic power by 2045, the demand for sophisticated advisory services in Jakarta will skyrocket. However, these services cannot be "copy-pasted" from New York or London.</w:t>
      </w:r>
    </w:p>
    <w:p>
      <w:pPr>
        <w:pStyle w:val="BodyText"/>
      </w:pPr>
      <w:r>
        <w:t xml:space="preserve">We conclude that the most effective business consultants are those who embrace cultural humility and strategic empathy. By integrating deep knowledge of</w:t>
      </w:r>
      <w:r>
        <w:t xml:space="preserve"> </w:t>
      </w:r>
      <w:r>
        <w:rPr>
          <w:bCs/>
          <w:b/>
        </w:rPr>
        <w:t xml:space="preserve">Indonesia Jakarta</w:t>
      </w:r>
      <w:r>
        <w:t xml:space="preserve">'s unique socio-economic fabric with global analytical rigor, consultants can drive sustainable growth and meaningful development. This presentation calls for further academic research into long-term performance metrics of culturally adapted consulting models in ASEAN markets.</w:t>
      </w:r>
    </w:p>
    <w:bookmarkEnd w:id="27"/>
    <w:p>
      <w:pPr>
        <w:pStyle w:val="BodyText"/>
      </w:pPr>
      <w:r>
        <w:t xml:space="preserve">© 2024 Academic Poster Presentation Series. All Rights Reserved.</w:t>
      </w:r>
    </w:p>
    <w:p>
      <w:pPr>
        <w:pStyle w:val="BodyText"/>
      </w:pPr>
      <w:r>
        <w:rPr>
          <w:iCs/>
          <w:i/>
        </w:rPr>
        <w:t xml:space="preserve">"Respecting the Past, Consulting for the Future."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Business Consultant Strategy for Indonesia Jakarta</dc:title>
  <dc:creator/>
  <dc:language>en</dc:language>
  <cp:keywords/>
  <dcterms:created xsi:type="dcterms:W3CDTF">2026-07-29T20:53:15Z</dcterms:created>
  <dcterms:modified xsi:type="dcterms:W3CDTF">2026-07-29T20:53:15Z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