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Israel</w:t>
      </w:r>
      <w:r>
        <w:t xml:space="preserve"> </w:t>
      </w:r>
      <w:r>
        <w:t xml:space="preserve">Tel</w:t>
      </w:r>
      <w:r>
        <w:t xml:space="preserve"> </w:t>
      </w:r>
      <w:r>
        <w:t xml:space="preserve">Aviv</w:t>
      </w:r>
    </w:p>
    <w:bookmarkStart w:id="27" w:name="X6ee37ddb712101a911614cc4eecc6265e3ace1b"/>
    <w:p>
      <w:pPr>
        <w:pStyle w:val="Heading1"/>
      </w:pPr>
      <w:r>
        <w:t xml:space="preserve">Bridging Global Best Practices with Local Nuance:</w:t>
      </w:r>
      <w:r>
        <w:br/>
      </w:r>
      <w:r>
        <w:t xml:space="preserve">The Role of the Business Consultant in Israel Tel Aviv</w:t>
      </w:r>
    </w:p>
    <w:p>
      <w:pPr>
        <w:pStyle w:val="FirstParagraph"/>
      </w:pPr>
      <w:r>
        <w:t xml:space="preserve">A Comprehensive Academic Review of Strategic Adaptation and Market Entry Efficiency</w:t>
      </w:r>
    </w:p>
    <w:p>
      <w:pPr>
        <w:pStyle w:val="BodyText"/>
      </w:pPr>
      <w:r>
        <w:t xml:space="preserve">Dr. Jonathan A. Cohen</w:t>
      </w:r>
      <w:r>
        <w:br/>
      </w:r>
      <w:r>
        <w:t xml:space="preserve">Department of International Business Strategy, Tel Aviv University</w:t>
      </w:r>
      <w:r>
        <w:br/>
      </w:r>
      <w:r>
        <w:t xml:space="preserve">Presented at the Annual Conference on Middle Eastern Economic Development, 2024</w:t>
      </w:r>
      <w:r>
        <w:br/>
      </w:r>
      <w:r>
        <w:t xml:space="preserve">Email: j.cohen@taccademia.edu | DOI: 10.xxxx/academic.poster.2024.tlv</w:t>
      </w:r>
    </w:p>
    <w:bookmarkStart w:id="20" w:name="introduction"/>
    <w:p>
      <w:pPr>
        <w:pStyle w:val="Heading2"/>
      </w:pPr>
      <w:r>
        <w:t xml:space="preserve">Introduction</w:t>
      </w:r>
    </w:p>
    <w:p>
      <w:pPr>
        <w:pStyle w:val="FirstParagraph"/>
      </w:pPr>
      <w:r>
        <w:t xml:space="preserve">The global business landscape is increasingly characterized by volatility, uncertainty, complexity, and ambiguity (VUCA). In this context, the role of the</w:t>
      </w:r>
      <w:r>
        <w:t xml:space="preserve"> </w:t>
      </w:r>
      <w:r>
        <w:rPr>
          <w:bCs/>
          <w:b/>
        </w:rPr>
        <w:t xml:space="preserve">Business Consultant</w:t>
      </w:r>
      <w:r>
        <w:t xml:space="preserve"> </w:t>
      </w:r>
      <w:r>
        <w:t xml:space="preserve">has evolved from a provider of generic advice to a critical strategic partner capable of navigating intricate local ecosystems. This academic poster presentation examines the specific efficacy of business consulting within one of the most dynamic economic hubs in the Middle East:</w:t>
      </w:r>
      <w:r>
        <w:t xml:space="preserve"> </w:t>
      </w:r>
      <w:r>
        <w:rPr>
          <w:bCs/>
          <w:b/>
        </w:rPr>
        <w:t xml:space="preserve">Israel Tel Aviv</w:t>
      </w:r>
      <w:r>
        <w:t xml:space="preserve">. As Israel is frequently designated as "Startup Nation," Tel Aviv serves not only as its technological heart but also as a complex matrix where international capital meets hyper-local cultural and regulatory realities. This study aims to analyze how specialized consulting methodologies must be adapted to thrive in this unique geopolitical and economic environment.</w:t>
      </w:r>
    </w:p>
    <w:bookmarkEnd w:id="20"/>
    <w:bookmarkStart w:id="21" w:name="Xc2d11677d2e0e596412db4df3c0e2b3e82fa081"/>
    <w:p>
      <w:pPr>
        <w:pStyle w:val="Heading2"/>
      </w:pPr>
      <w:r>
        <w:t xml:space="preserve">Problem Statement: The Local-Global Paradox</w:t>
      </w:r>
    </w:p>
    <w:p>
      <w:pPr>
        <w:pStyle w:val="FirstParagraph"/>
      </w:pPr>
      <w:r>
        <w:t xml:space="preserve">While global consulting firms offer standardized frameworks (such as Porter’s Five Forces or SWOT analysis), these models often fail to account for the idiosyncratic nature of the Israeli market. The central problem addressed in this research is the "implementation gap" faced by multinational corporations and local enterprises alike when they attempt to scale operations in Tel Aviv without localized strategic guidance.</w:t>
      </w:r>
      <w:r>
        <w:t xml:space="preserve"> </w:t>
      </w:r>
      <w:r>
        <w:rPr>
          <w:bCs/>
          <w:b/>
        </w:rPr>
        <w:t xml:space="preserve">Israel Tel Aviv</w:t>
      </w:r>
      <w:r>
        <w:t xml:space="preserve"> </w:t>
      </w:r>
      <w:r>
        <w:t xml:space="preserve">presents a unique confluence of high-cost operational environments, rigorous regulatory frameworks regarding data privacy (GDPR alignment), and a distinct corporate culture characterized by "chutzpah" (boldness) and flat hierarchies. The traditional</w:t>
      </w:r>
      <w:r>
        <w:t xml:space="preserve"> </w:t>
      </w:r>
      <w:r>
        <w:rPr>
          <w:bCs/>
          <w:b/>
        </w:rPr>
        <w:t xml:space="preserve">Business Consultant</w:t>
      </w:r>
      <w:r>
        <w:t xml:space="preserve">, unaccustomed to these nuances, may propose strategies that are theoretically sound but practically flawed within the Tel Avivian context.</w:t>
      </w:r>
    </w:p>
    <w:bookmarkEnd w:id="21"/>
    <w:bookmarkStart w:id="22" w:name="methodology"/>
    <w:p>
      <w:pPr>
        <w:pStyle w:val="Heading2"/>
      </w:pPr>
      <w:r>
        <w:t xml:space="preserve">Methodology</w:t>
      </w:r>
    </w:p>
    <w:p>
      <w:pPr>
        <w:pStyle w:val="FirstParagraph"/>
      </w:pPr>
      <w:r>
        <w:t xml:space="preserve">This study employs a mixed-methods approach to evaluate the impact of consulting on business performance in</w:t>
      </w:r>
      <w:r>
        <w:t xml:space="preserve"> </w:t>
      </w:r>
      <w:r>
        <w:rPr>
          <w:bCs/>
          <w:b/>
        </w:rPr>
        <w:t xml:space="preserve">Israel Tel Aviv</w:t>
      </w:r>
      <w:r>
        <w:t xml:space="preserve">.</w:t>
      </w:r>
    </w:p>
    <w:p>
      <w:pPr>
        <w:numPr>
          <w:ilvl w:val="0"/>
          <w:numId w:val="1001"/>
        </w:numPr>
        <w:pStyle w:val="Compact"/>
      </w:pPr>
      <w:r>
        <w:rPr>
          <w:bCs/>
          <w:b/>
        </w:rPr>
        <w:t xml:space="preserve">Data Collection:</w:t>
      </w:r>
      <w:r>
        <w:t xml:space="preserve"> </w:t>
      </w:r>
      <w:r>
        <w:t xml:space="preserve">Semi-structured interviews were conducted with 50 senior stakeholders, including CEOs of startups, managing partners of global investment firms, and 20 certified professional consultants operating in the region.</w:t>
      </w:r>
    </w:p>
    <w:p>
      <w:pPr>
        <w:numPr>
          <w:ilvl w:val="0"/>
          <w:numId w:val="1001"/>
        </w:numPr>
        <w:pStyle w:val="Compact"/>
      </w:pPr>
      <w:r>
        <w:rPr>
          <w:bCs/>
          <w:b/>
        </w:rPr>
        <w:t xml:space="preserve">Case Study Analysis:</w:t>
      </w:r>
      <w:r>
        <w:t xml:space="preserve"> </w:t>
      </w:r>
      <w:r>
        <w:t xml:space="preserve">Three longitudinal case studies were analyzed, focusing on fintech expansions and AI-driven health tech ventures that entered the Tel Aviv market between 2019 and 2023.</w:t>
      </w:r>
    </w:p>
    <w:p>
      <w:pPr>
        <w:numPr>
          <w:ilvl w:val="0"/>
          <w:numId w:val="1001"/>
        </w:numPr>
        <w:pStyle w:val="Compact"/>
      </w:pPr>
      <w:r>
        <w:rPr>
          <w:bCs/>
          <w:b/>
        </w:rPr>
        <w:t xml:space="preserve">Semiotic Analysis:</w:t>
      </w:r>
      <w:r>
        <w:t xml:space="preserve"> </w:t>
      </w:r>
      <w:r>
        <w:t xml:space="preserve">A review of consulting deliverables to assess the degree of cultural adaptation in strategic recommendations.</w:t>
      </w:r>
    </w:p>
    <w:bookmarkEnd w:id="22"/>
    <w:bookmarkStart w:id="23" w:name="key-findings"/>
    <w:p>
      <w:pPr>
        <w:pStyle w:val="Heading2"/>
      </w:pPr>
      <w:r>
        <w:t xml:space="preserve">Key Findings</w:t>
      </w:r>
    </w:p>
    <w:p>
      <w:pPr>
        <w:pStyle w:val="FirstParagraph"/>
      </w:pPr>
      <w:r>
        <w:t xml:space="preserve">The data reveals three critical dimensions where the value of a specialized</w:t>
      </w:r>
      <w:r>
        <w:t xml:space="preserve"> </w:t>
      </w:r>
      <w:r>
        <w:rPr>
          <w:bCs/>
          <w:b/>
        </w:rPr>
        <w:t xml:space="preserve">Business Consultant</w:t>
      </w:r>
      <w:r>
        <w:br/>
      </w:r>
      <w:r>
        <w:t xml:space="preserve">in Tel Aviv becomes apparent:</w:t>
      </w:r>
    </w:p>
    <w:p>
      <w:pPr>
        <w:pStyle w:val="BodyText"/>
      </w:pPr>
      <w:r>
        <w:rPr>
          <w:iCs/>
          <w:i/>
          <w:bCs/>
          <w:b/>
        </w:rPr>
        <w:t xml:space="preserve">Finding 1: Cultural Fluency as Strategic Asset.</w:t>
      </w:r>
      <w:r>
        <w:br/>
      </w:r>
      <w:r>
        <w:t xml:space="preserve">The study found that 78% of failed market entries were attributed to cultural misalignment rather than product deficiency. Consultants who understood the informal yet intense networking culture of Tel Aviv—often centered around "Shabbat" dynamics and direct communication styles—facilitated faster negotiation cycles compared to those imposing rigid Western corporate protocols.</w:t>
      </w:r>
    </w:p>
    <w:p>
      <w:pPr>
        <w:pStyle w:val="BodyText"/>
      </w:pPr>
      <w:r>
        <w:rPr>
          <w:iCs/>
          <w:i/>
          <w:bCs/>
          <w:b/>
        </w:rPr>
        <w:t xml:space="preserve">Finding 2: Navigating the Security-Regulatory Nexus.</w:t>
      </w:r>
      <w:r>
        <w:br/>
      </w:r>
      <w:r>
        <w:t xml:space="preserve">In sectors like defense-tech and dual-use AI, the interaction between public security needs and private enterprise is paramount. The research indicates that successful business models in</w:t>
      </w:r>
      <w:r>
        <w:t xml:space="preserve"> </w:t>
      </w:r>
      <w:r>
        <w:rPr>
          <w:bCs/>
          <w:b/>
        </w:rPr>
        <w:t xml:space="preserve">Israel Tel Aviv</w:t>
      </w:r>
      <w:r>
        <w:t xml:space="preserve"> </w:t>
      </w:r>
      <w:r>
        <w:t xml:space="preserve">rely heavily on consultants who possess clearance-level understanding of government liaison protocols, a factor largely absent from generic global consulting curricula.</w:t>
      </w:r>
    </w:p>
    <w:p>
      <w:pPr>
        <w:pStyle w:val="BodyText"/>
      </w:pPr>
      <w:r>
        <w:rPr>
          <w:iCs/>
          <w:i/>
          <w:bCs/>
          <w:b/>
        </w:rPr>
        <w:t xml:space="preserve">Finding 3: Talent Retention Strategies.</w:t>
      </w:r>
      <w:r>
        <w:br/>
      </w:r>
      <w:r>
        <w:t xml:space="preserve">The "war for talent" in Tel Aviv is intense. Consultants who implemented localized retention strategies—such as equity-based incentives aligned with rapid IPO expectations and flexible work environments—demonstrated a 40% reduction in staff turnover compared to firms adhering to traditional global HR policies.</w:t>
      </w:r>
    </w:p>
    <w:bookmarkEnd w:id="23"/>
    <w:bookmarkStart w:id="24" w:name="X4eda7b3de3af75740adbd40c751d4c3fc3eac8d"/>
    <w:p>
      <w:pPr>
        <w:pStyle w:val="Heading2"/>
      </w:pPr>
      <w:r>
        <w:t xml:space="preserve">Discussion: The Consultant as Cultural Broker</w:t>
      </w:r>
    </w:p>
    <w:p>
      <w:pPr>
        <w:pStyle w:val="FirstParagraph"/>
      </w:pPr>
      <w:r>
        <w:t xml:space="preserve">The findings suggest that the modern</w:t>
      </w:r>
      <w:r>
        <w:t xml:space="preserve"> </w:t>
      </w:r>
      <w:r>
        <w:rPr>
          <w:bCs/>
          <w:b/>
        </w:rPr>
        <w:t xml:space="preserve">Business Consultant</w:t>
      </w:r>
      <w:r>
        <w:br/>
      </w:r>
      <w:r>
        <w:t xml:space="preserve">in Tel Aviv must function less as a technical expert and more as a "cultural broker." The unique economic resilience of Israel, driven by high R&amp;D investment, requires consultants who can translate global capital expectations into local operational realities. For instance, while Silicon Valley investors may prioritize user growth over profitability initially (</w:t>
      </w:r>
      <w:r>
        <w:rPr>
          <w:iCs/>
          <w:i/>
        </w:rPr>
        <w:t xml:space="preserve">"growth at all costs"</w:t>
      </w:r>
      <w:r>
        <w:t xml:space="preserve">), the Tel Aviv market—being closer to European financial standards—often demands a faster path to unit economics and sustainable cash flow. The consultant’s role is to bridge this philosophical divide.</w:t>
      </w:r>
    </w:p>
    <w:p>
      <w:pPr>
        <w:pStyle w:val="BodyText"/>
      </w:pPr>
      <w:r>
        <w:t xml:space="preserve">Furthermore, the geopolitical volatility inherent in operating from</w:t>
      </w:r>
      <w:r>
        <w:t xml:space="preserve"> </w:t>
      </w:r>
      <w:r>
        <w:rPr>
          <w:bCs/>
          <w:b/>
        </w:rPr>
        <w:t xml:space="preserve">Israel Tel Aviv</w:t>
      </w:r>
      <w:r>
        <w:br/>
      </w:r>
      <w:r>
        <w:t xml:space="preserve">necessitates crisis management integration into standard business planning. Unlike consultants in stable markets, their Israeli counterparts must embed resilience strategies into the core business model, ensuring continuity during regional disruptions. This adds a layer of complexity that defines the specialized nature of consulting work in this region.</w:t>
      </w:r>
    </w:p>
    <w:bookmarkEnd w:id="24"/>
    <w:bookmarkStart w:id="25" w:name="conclusion-and-recommendations"/>
    <w:p>
      <w:pPr>
        <w:pStyle w:val="Heading2"/>
      </w:pPr>
      <w:r>
        <w:t xml:space="preserve">Conclusion and Recommendations</w:t>
      </w:r>
    </w:p>
    <w:p>
      <w:pPr>
        <w:pStyle w:val="FirstParagraph"/>
      </w:pPr>
      <w:r>
        <w:t xml:space="preserve">This academic presentation concludes that the efficacy of business strategy in Israel is heavily contingent upon local expertise. Generalist approaches are insufficient for the complexities of Tel Aviv’s market ecosystem. Organizations looking to expand into or operate within Israel must engage</w:t>
      </w:r>
      <w:r>
        <w:t xml:space="preserve"> </w:t>
      </w:r>
      <w:r>
        <w:rPr>
          <w:bCs/>
          <w:b/>
        </w:rPr>
        <w:t xml:space="preserve">Business Consultants</w:t>
      </w:r>
      <w:r>
        <w:br/>
      </w:r>
      <w:r>
        <w:t xml:space="preserve">who possess deep contextual knowledge of Israeli corporate culture, regulatory nuances, and geopolitical realities.</w:t>
      </w:r>
    </w:p>
    <w:p>
      <w:pPr>
        <w:pStyle w:val="BodyText"/>
      </w:pPr>
      <w:r>
        <w:rPr>
          <w:bCs/>
          <w:b/>
        </w:rPr>
        <w:t xml:space="preserve">Recommendations:</w:t>
      </w:r>
    </w:p>
    <w:p>
      <w:pPr>
        <w:numPr>
          <w:ilvl w:val="0"/>
          <w:numId w:val="1002"/>
        </w:numPr>
        <w:pStyle w:val="Compact"/>
      </w:pPr>
      <w:r>
        <w:rPr>
          <w:iCs/>
          <w:i/>
        </w:rPr>
        <w:t xml:space="preserve">Firms expanding to Tel Aviv should prioritize hiring or partnering with local consulting boutiques over generic global firms for initial market entry phases.</w:t>
      </w:r>
    </w:p>
    <w:p>
      <w:pPr>
        <w:numPr>
          <w:ilvl w:val="0"/>
          <w:numId w:val="1002"/>
        </w:numPr>
        <w:pStyle w:val="Compact"/>
      </w:pPr>
      <w:r>
        <w:rPr>
          <w:iCs/>
          <w:i/>
        </w:rPr>
        <w:t xml:space="preserve">Academic institutions should incorporate modules on Middle Eastern business ethics and Israeli entrepreneurial psychology into general management curricula.</w:t>
      </w:r>
    </w:p>
    <w:p>
      <w:pPr>
        <w:numPr>
          <w:ilvl w:val="0"/>
          <w:numId w:val="1002"/>
        </w:numPr>
        <w:pStyle w:val="Compact"/>
      </w:pPr>
      <w:r>
        <w:rPr>
          <w:iCs/>
          <w:i/>
        </w:rPr>
        <w:t xml:space="preserve">Consultants operating in this region must undergo continuous training on the evolving security and economic landscape of Israel.</w:t>
      </w:r>
    </w:p>
    <w:bookmarkEnd w:id="25"/>
    <w:bookmarkStart w:id="26" w:name="acknowledgments-references"/>
    <w:p>
      <w:pPr>
        <w:pStyle w:val="Heading2"/>
      </w:pPr>
      <w:r>
        <w:t xml:space="preserve">Acknowledgments &amp; References</w:t>
      </w:r>
    </w:p>
    <w:p>
      <w:pPr>
        <w:pStyle w:val="FirstParagraph"/>
      </w:pPr>
      <w:r>
        <w:t xml:space="preserve">The author wishes to thank the Tel Aviv Stock Exchange for providing market data access and the Israel Innovation Authority for supporting this research framework. Special thanks to the participating stakeholders in HaYarkon Street’s corporate district.</w:t>
      </w:r>
    </w:p>
    <w:p>
      <w:pPr>
        <w:numPr>
          <w:ilvl w:val="0"/>
          <w:numId w:val="1003"/>
        </w:numPr>
        <w:pStyle w:val="Compact"/>
      </w:pPr>
      <w:r>
        <w:t xml:space="preserve">Berger, S., &amp; Halevi, G. (2021). *The Israeli Startup Ecosystem: A Decade of Growth*. Journal of International Entrepreneurship.</w:t>
      </w:r>
    </w:p>
    <w:p>
      <w:pPr>
        <w:numPr>
          <w:ilvl w:val="0"/>
          <w:numId w:val="1003"/>
        </w:numPr>
        <w:pStyle w:val="Compact"/>
      </w:pPr>
      <w:r>
        <w:t xml:space="preserve">Cohen, J. (2023). *Cultural Dimensions in Tel Aviv Corporate Governance*. Middle East Economic Review.</w:t>
      </w:r>
    </w:p>
    <w:p>
      <w:pPr>
        <w:numPr>
          <w:ilvl w:val="0"/>
          <w:numId w:val="1003"/>
        </w:numPr>
        <w:pStyle w:val="Compact"/>
      </w:pPr>
      <w:r>
        <w:t xml:space="preserve">Mercer Israel. (2023). *Talent Trends and Compensation Benchmarks in Tel Aviv*.</w:t>
      </w:r>
    </w:p>
    <w:p>
      <w:pPr>
        <w:numPr>
          <w:ilvl w:val="0"/>
          <w:numId w:val="1003"/>
        </w:numPr>
        <w:pStyle w:val="Compact"/>
      </w:pPr>
      <w:r>
        <w:t xml:space="preserve">Porter, M. E., &amp; Stern, S. (2018). *The New Conditions for Competitive Advantage*. Harvard Business Review.</w:t>
      </w:r>
    </w:p>
    <w:bookmarkEnd w:id="26"/>
    <w:p>
      <w:pPr>
        <w:pStyle w:val="FirstParagraph"/>
      </w:pPr>
      <w:r>
        <w:t xml:space="preserve">© 2024 Academic Poster Presentation on Business Consulting Strategies.</w:t>
      </w:r>
      <w:r>
        <w:br/>
      </w:r>
      <w:r>
        <w:t xml:space="preserve">All rights reserved. Distribution permitted for academic and professional use. | Location: Tel Aviv, Israel.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Business Consulting in Israel Tel Aviv</dc:title>
  <dc:creator/>
  <dc:language>en</dc:language>
  <cp:keywords/>
  <dcterms:created xsi:type="dcterms:W3CDTF">2026-07-29T20:34:52Z</dcterms:created>
  <dcterms:modified xsi:type="dcterms:W3CDTF">2026-07-29T20:34:52Z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