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Osaka</w:t>
      </w:r>
    </w:p>
    <w:bookmarkStart w:id="20" w:name="Xdb1aa962f1d633ae82e58cd7c732c62b38b0630"/>
    <w:p>
      <w:pPr>
        <w:pStyle w:val="Heading1"/>
      </w:pPr>
      <w:r>
        <w:t xml:space="preserve">Bridging Tradition and Innovation: The Evolving Role of the Business Consultant in Japan, Osaka</w:t>
      </w:r>
    </w:p>
    <w:p>
      <w:pPr>
        <w:pStyle w:val="FirstParagraph"/>
      </w:pPr>
      <w:r>
        <w:rPr>
          <w:bCs/>
          <w:b/>
        </w:rPr>
        <w:t xml:space="preserve">Abstract:</w:t>
      </w:r>
      <w:r>
        <w:t xml:space="preserve"> </w:t>
      </w:r>
      <w:r>
        <w:t xml:space="preserve">This poster presentation explores the unique dynamics of business consulting within Japan's second largest city, Osaka. While Tokyo remains the political and financial heart of Japan, Osaka (Nihon no Daikokuetsu) serves as its commercial engine. This study analyzes how modern Business Consultant methodologies must adapt to respect traditional Japanese corporate culture while simultaneously driving digital transformation. By examining case studies from Osaka’s manufacturing and service sectors, we demonstrate that successful consulting requires a nuanced understanding of "Wa" (harmony), indirect communication, and the specific entrepreneurial spirit of Kansai entrepreneurs.</w:t>
      </w:r>
    </w:p>
    <w:bookmarkEnd w:id="20"/>
    <w:bookmarkStart w:id="21" w:name="introduction-the-osaka-context"/>
    <w:p>
      <w:pPr>
        <w:pStyle w:val="Heading2"/>
      </w:pPr>
      <w:r>
        <w:t xml:space="preserve">Introduction: The Osaka Context</w:t>
      </w:r>
    </w:p>
    <w:p>
      <w:pPr>
        <w:pStyle w:val="FirstParagraph"/>
      </w:pPr>
      <w:r>
        <w:t xml:space="preserve">The landscape of business in Japan is complex, deeply rooted in centuries-old practices yet aggressively pursuing futuristic technological integration. Within this national framework, the city of Osaka presents a distinct micro-economy. Unlike Tokyo's corporate headquarters-driven model, Osaka’s economy is characterized by a robust SME (Small and Medium Enterprise) sector and a culture of practical pragmatism known as</w:t>
      </w:r>
      <w:r>
        <w:t xml:space="preserve"> </w:t>
      </w:r>
      <w:r>
        <w:rPr>
          <w:iCs/>
          <w:i/>
        </w:rPr>
        <w:t xml:space="preserve">"Kushikatsu"</w:t>
      </w:r>
      <w:r>
        <w:t xml:space="preserve"> </w:t>
      </w:r>
      <w:r>
        <w:t xml:space="preserve">spirit — literally skewering everything to see what sticks.</w:t>
      </w:r>
    </w:p>
    <w:p>
      <w:pPr>
        <w:pStyle w:val="BodyText"/>
      </w:pPr>
      <w:r>
        <w:t xml:space="preserve">For the academic community studying international business strategies, Osaka offers a critical laboratory. The role of the Business Consultant in this region cannot be merely imported from Western frameworks. Instead, it must be localized. This presentation argues that effective consulting in Japan, specifically Osaka, is less about imposing rigid structures and more about facilitating consensus-based growth that respects local hierarchies while gently nudging organizations toward modernization.</w:t>
      </w:r>
    </w:p>
    <w:bookmarkEnd w:id="21"/>
    <w:bookmarkStart w:id="22" w:name="Xbf7d98d7eeea53c4a98aeaac0d897cbad949b44"/>
    <w:p>
      <w:pPr>
        <w:pStyle w:val="Heading2"/>
      </w:pPr>
      <w:r>
        <w:t xml:space="preserve">Theoretical Framework: Cultural Dimensions</w:t>
      </w:r>
    </w:p>
    <w:p>
      <w:pPr>
        <w:pStyle w:val="FirstParagraph"/>
      </w:pPr>
      <w:r>
        <w:t xml:space="preserve">To understand the efficacy of Business Consultant interventions, we apply Hofstede’s cultural dimensions alongside Edward T. Hall’s high-context communication theory. In Osaka:</w:t>
      </w:r>
    </w:p>
    <w:p>
      <w:pPr>
        <w:numPr>
          <w:ilvl w:val="0"/>
          <w:numId w:val="1001"/>
        </w:numPr>
        <w:pStyle w:val="Compact"/>
      </w:pPr>
      <w:r>
        <w:rPr>
          <w:bCs/>
          <w:b/>
        </w:rPr>
        <w:t xml:space="preserve">High Context Communication:</w:t>
      </w:r>
      <w:r>
        <w:t xml:space="preserve"> </w:t>
      </w:r>
      <w:r>
        <w:t xml:space="preserve">Much like in broader Japanese culture, information is often embedded in the physical context or internalized knowledge rather than explicitly stated. Consultants must read the air (</w:t>
      </w:r>
      <w:r>
        <w:rPr>
          <w:iCs/>
          <w:i/>
        </w:rPr>
        <w:t xml:space="preserve">"Kuuki wo yomu"</w:t>
      </w:r>
      <w:r>
        <w:t xml:space="preserve">) to understand true client needs.</w:t>
      </w:r>
    </w:p>
    <w:p>
      <w:pPr>
        <w:numPr>
          <w:ilvl w:val="0"/>
          <w:numId w:val="1001"/>
        </w:numPr>
        <w:pStyle w:val="Compact"/>
      </w:pPr>
      <w:r>
        <w:rPr>
          <w:bCs/>
          <w:b/>
        </w:rPr>
        <w:t xml:space="preserve">Hierarchical Consensus:</w:t>
      </w:r>
      <w:r>
        <w:t xml:space="preserve"> </w:t>
      </w:r>
      <w:r>
        <w:t xml:space="preserve">Decision-making is bottom-up and consensus-driven (</w:t>
      </w:r>
      <w:r>
        <w:rPr>
          <w:iCs/>
          <w:i/>
        </w:rPr>
        <w:t xml:space="preserve">"Nemawashi"</w:t>
      </w:r>
      <w:r>
        <w:t xml:space="preserve">). A consultant presenting a solution without prior informal discussions with stakeholders will likely face resistance, regardless of the solution's logical merit.</w:t>
      </w:r>
    </w:p>
    <w:p>
      <w:pPr>
        <w:numPr>
          <w:ilvl w:val="0"/>
          <w:numId w:val="1001"/>
        </w:numPr>
        <w:pStyle w:val="Compact"/>
      </w:pPr>
      <w:r>
        <w:rPr>
          <w:bCs/>
          <w:b/>
        </w:rPr>
        <w:t xml:space="preserve">The Osaka Exception:</w:t>
      </w:r>
      <w:r>
        <w:t xml:space="preserve"> </w:t>
      </w:r>
      <w:r>
        <w:t xml:space="preserve">Research indicates that Osaka residents exhibit slightly lower power distance indices compared to Tokyoites. There is a more direct, albeit still polite, communication style among local business owners. Consultants can leverage this openness to implement faster change management processes in Osaka compared to other regions of Japan.</w:t>
      </w:r>
    </w:p>
    <w:bookmarkEnd w:id="22"/>
    <w:bookmarkStart w:id="23" w:name="methodology"/>
    <w:p>
      <w:pPr>
        <w:pStyle w:val="Heading2"/>
      </w:pPr>
      <w:r>
        <w:t xml:space="preserve">Methodology</w:t>
      </w:r>
    </w:p>
    <w:p>
      <w:pPr>
        <w:pStyle w:val="FirstParagraph"/>
      </w:pPr>
      <w:r>
        <w:t xml:space="preserve">This study utilizes a qualitative multi-case study approach, interviewing senior Business Consultant and C-suite executives across various industries in the Osaka metropolitan area. Data was collected through semi-structured interviews conducted in both Japanese and English to capture nuanced cultural references.</w:t>
      </w:r>
    </w:p>
    <w:bookmarkEnd w:id="23"/>
    <w:bookmarkStart w:id="24" w:name="case-study-1-the-manufacturing-sector"/>
    <w:p>
      <w:pPr>
        <w:pStyle w:val="Heading2"/>
      </w:pPr>
      <w:r>
        <w:t xml:space="preserve">Case Study 1: The Manufacturing Sector</w:t>
      </w:r>
    </w:p>
    <w:p>
      <w:pPr>
        <w:pStyle w:val="FirstParagraph"/>
      </w:pPr>
      <w:r>
        <w:t xml:space="preserve">In one prominent case, a multinational consulting firm attempted to implement lean manufacturing techniques in a traditional Osaka-based textile machinery manufacturer. Initial failures occurred because the consultants ignored the informal knowledge networks of senior technicians.</w:t>
      </w:r>
    </w:p>
    <w:p>
      <w:pPr>
        <w:pStyle w:val="BodyText"/>
      </w:pPr>
      <w:r>
        <w:rPr>
          <w:bCs/>
          <w:b/>
        </w:rPr>
        <w:t xml:space="preserve">Pivot:</w:t>
      </w:r>
      <w:r>
        <w:t xml:space="preserve"> </w:t>
      </w:r>
      <w:r>
        <w:t xml:space="preserve">By shifting to a "gemba" (go and see) approach, where consultants spent months on the factory floor learning from workers rather than dictating procedures, trust was established. The resulting hybrid model preserved traditional craftsmanship while integrating IoT sensors for predictive maintenance.</w:t>
      </w:r>
    </w:p>
    <w:bookmarkEnd w:id="24"/>
    <w:bookmarkStart w:id="25" w:name="X357f284ba3c7216a1e35cf3bd84c1c5a7f5e4c1"/>
    <w:p>
      <w:pPr>
        <w:pStyle w:val="Heading2"/>
      </w:pPr>
      <w:r>
        <w:t xml:space="preserve">Case Study 2: Digital Transformation in Services</w:t>
      </w:r>
    </w:p>
    <w:p>
      <w:pPr>
        <w:pStyle w:val="FirstParagraph"/>
      </w:pPr>
      <w:r>
        <w:t xml:space="preserve">A second case focuses on a regional retail chain in Osaka facing decline due to e-commerce competition. The Business Consultant team advised against immediate, aggressive digital overhauls. Instead, they utilized the concept of "Monozukuri" (the art of making things) applied to service.</w:t>
      </w:r>
    </w:p>
    <w:p>
      <w:pPr>
        <w:pStyle w:val="BodyText"/>
      </w:pPr>
      <w:r>
        <w:t xml:space="preserve">The strategy focused on enhancing the physical customer experience through data-driven inventory management rather than purely online expansion. This balanced approach respected the local preference for tactile shopping experiences while modernizing backend logistics, leading to a 15% revenue increase over two years.</w:t>
      </w:r>
    </w:p>
    <w:bookmarkEnd w:id="25"/>
    <w:bookmarkStart w:id="26" w:name="challenges-for-global-consultants"/>
    <w:p>
      <w:pPr>
        <w:pStyle w:val="Heading2"/>
      </w:pPr>
      <w:r>
        <w:t xml:space="preserve">Challenges for Global Consultants</w:t>
      </w:r>
    </w:p>
    <w:p>
      <w:pPr>
        <w:pStyle w:val="FirstParagraph"/>
      </w:pPr>
      <w:r>
        <w:t xml:space="preserve">The presentation highlights several key challenges facing foreign and domestic Business Consultant operating in Japan Osaka:</w:t>
      </w:r>
    </w:p>
    <w:p>
      <w:pPr>
        <w:numPr>
          <w:ilvl w:val="0"/>
          <w:numId w:val="1002"/>
        </w:numPr>
        <w:pStyle w:val="Compact"/>
      </w:pPr>
      <w:r>
        <w:rPr>
          <w:bCs/>
          <w:b/>
        </w:rPr>
        <w:t xml:space="preserve">Lifetime Employment Legacy:</w:t>
      </w:r>
      <w:r>
        <w:t xml:space="preserve"> </w:t>
      </w:r>
      <w:r>
        <w:t xml:space="preserve">While changing, the legacy of lifetime employment means consultants must focus on upskilling existing staff rather than restructuring workforces.</w:t>
      </w:r>
    </w:p>
    <w:p>
      <w:pPr>
        <w:numPr>
          <w:ilvl w:val="0"/>
          <w:numId w:val="1002"/>
        </w:numPr>
        <w:pStyle w:val="Compact"/>
      </w:pPr>
      <w:r>
        <w:rPr>
          <w:bCs/>
          <w:b/>
        </w:rPr>
        <w:t xml:space="preserve">Bureaucratic Hurdles:</w:t>
      </w:r>
      <w:r>
        <w:t xml:space="preserve"> </w:t>
      </w:r>
      <w:r>
        <w:t xml:space="preserve">Navigating local Osaka municipal regulations requires close collaboration with local legal experts.</w:t>
      </w:r>
    </w:p>
    <w:p>
      <w:pPr>
        <w:numPr>
          <w:ilvl w:val="0"/>
          <w:numId w:val="1002"/>
        </w:numPr>
        <w:pStyle w:val="Compact"/>
      </w:pPr>
      <w:r>
        <w:rPr>
          <w:bCs/>
          <w:b/>
        </w:rPr>
        <w:t xml:space="preserve">Digital Divide:</w:t>
      </w:r>
      <w:r>
        <w:t xml:space="preserve"> </w:t>
      </w:r>
      <w:r>
        <w:t xml:space="preserve">While Japan is technologically advanced, many SMEs lag in basic digital literacy. Consultants must act as educators, not just strategists.</w:t>
      </w:r>
    </w:p>
    <w:bookmarkEnd w:id="26"/>
    <w:bookmarkStart w:id="27" w:name="conclusion-and-implications"/>
    <w:p>
      <w:pPr>
        <w:pStyle w:val="Heading2"/>
      </w:pPr>
      <w:r>
        <w:t xml:space="preserve">Conclusion and Implications</w:t>
      </w:r>
    </w:p>
    <w:p>
      <w:pPr>
        <w:pStyle w:val="FirstParagraph"/>
      </w:pPr>
      <w:r>
        <w:t xml:space="preserve">The role of the Business Consultant in Japan Osaka is evolving from a mere advisor to a cultural broker. Success depends on the ability to bridge the gap between global best practices and local Kanai values. For academics, this highlights the importance of contextualizing management theories rather than assuming universal applicability.</w:t>
      </w:r>
    </w:p>
    <w:p>
      <w:pPr>
        <w:pStyle w:val="BodyText"/>
      </w:pPr>
      <w:r>
        <w:t xml:space="preserve">We conclude that future training programs for consultants targeting Asian markets must include specific modules on Kansai culture, emphasizing its unique blend of entrepreneurship and tradition. By doing so, organizations can unlock significant value in one of Japan’s most dynamic economic regions.</w:t>
      </w:r>
    </w:p>
    <w:bookmarkEnd w:id="27"/>
    <w:bookmarkStart w:id="28" w:name="references"/>
    <w:p>
      <w:pPr>
        <w:pStyle w:val="Heading2"/>
      </w:pPr>
      <w:r>
        <w:t xml:space="preserve">References</w:t>
      </w:r>
    </w:p>
    <w:p>
      <w:pPr>
        <w:pStyle w:val="FirstParagraph"/>
      </w:pPr>
      <w:r>
        <w:t xml:space="preserve">1. Hofstede, G. (2011). Dimensionalizing Cultures: The Hofstede Model in Context. Online Readings in Psychology and Culture.</w:t>
      </w:r>
    </w:p>
    <w:p>
      <w:pPr>
        <w:pStyle w:val="BodyText"/>
      </w:pPr>
      <w:r>
        <w:t xml:space="preserve">2. Hall, E.T. (1976). Beyond Culture. Anchor Books.</w:t>
      </w:r>
    </w:p>
    <w:p>
      <w:pPr>
        <w:pStyle w:val="BodyText"/>
      </w:pPr>
      <w:r>
        <w:t xml:space="preserve">3. Osaka Chamber of Commerce and Industry Annual Report (2023).</w:t>
      </w:r>
    </w:p>
    <w:p>
      <w:pPr>
        <w:pStyle w:val="BodyText"/>
      </w:pPr>
      <w:r>
        <w:t xml:space="preserve">4. Imai, M.(1986). Kaizen: The Key to Japan's Competitive Success. Random House.</w:t>
      </w:r>
    </w:p>
    <w:p>
      <w:pPr>
        <w:pStyle w:val="BodyText"/>
      </w:pPr>
      <w:r>
        <w:rPr>
          <w:bCs/>
          <w:b/>
        </w:rPr>
        <w:t xml:space="preserve">Acknowledgments:</w:t>
      </w:r>
      <w:r>
        <w:t xml:space="preserve"> </w:t>
      </w:r>
      <w:r>
        <w:t xml:space="preserve">We thank the Osaka Economic Research Institute for their data support and all participants who shared their experiences.</w:t>
      </w:r>
    </w:p>
    <w:p>
      <w:pPr>
        <w:pStyle w:val="BodyText"/>
      </w:pPr>
      <w:r>
        <w:rPr>
          <w:bCs/>
          <w:b/>
        </w:rPr>
        <w:t xml:space="preserve">Contact:</w:t>
      </w:r>
      <w:r>
        <w:t xml:space="preserve"> </w:t>
      </w:r>
      <w:r>
        <w:t xml:space="preserve">research@globalconsulting-japan.edu | @OsakaBizResearch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Business Consulting in Osaka</dc:title>
  <dc:creator/>
  <dc:language>en</dc:language>
  <cp:keywords/>
  <dcterms:created xsi:type="dcterms:W3CDTF">2026-07-29T20:54:09Z</dcterms:created>
  <dcterms:modified xsi:type="dcterms:W3CDTF">2026-07-29T20:54:09Z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