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Carpentry</w:t>
      </w:r>
      <w:r>
        <w:t xml:space="preserve"> </w:t>
      </w:r>
      <w:r>
        <w:t xml:space="preserve">in</w:t>
      </w:r>
      <w:r>
        <w:t xml:space="preserve"> </w:t>
      </w:r>
      <w:r>
        <w:t xml:space="preserve">Melbourne:</w:t>
      </w:r>
      <w:r>
        <w:t xml:space="preserve"> </w:t>
      </w:r>
      <w:r>
        <w:t xml:space="preserve">A</w:t>
      </w:r>
      <w:r>
        <w:t xml:space="preserve"> </w:t>
      </w:r>
      <w:r>
        <w:t xml:space="preserve">Post-Pandemic</w:t>
      </w:r>
      <w:r>
        <w:t xml:space="preserve"> </w:t>
      </w:r>
      <w:r>
        <w:t xml:space="preserve">Analysis</w:t>
      </w:r>
      <w:r>
        <w:t xml:space="preserve"> </w:t>
      </w:r>
      <w:r>
        <w:t xml:space="preserve">of</w:t>
      </w:r>
      <w:r>
        <w:t xml:space="preserve"> </w:t>
      </w:r>
      <w:r>
        <w:t xml:space="preserve">Labor</w:t>
      </w:r>
      <w:r>
        <w:t xml:space="preserve"> </w:t>
      </w:r>
      <w:r>
        <w:t xml:space="preserve">Shortages</w:t>
      </w:r>
      <w:r>
        <w:t xml:space="preserve"> </w:t>
      </w:r>
      <w:r>
        <w:t xml:space="preserve">and</w:t>
      </w:r>
      <w:r>
        <w:t xml:space="preserve"> </w:t>
      </w:r>
      <w:r>
        <w:t xml:space="preserve">Strategic</w:t>
      </w:r>
      <w:r>
        <w:t xml:space="preserve"> </w:t>
      </w:r>
      <w:r>
        <w:t xml:space="preserve">Resilience</w:t>
      </w:r>
    </w:p>
    <w:bookmarkStart w:id="20" w:name="X461a204338e3cb13d67804ea4998425a06cccb6"/>
    <w:p>
      <w:pPr>
        <w:pStyle w:val="Heading1"/>
      </w:pPr>
      <w:r>
        <w:t xml:space="preserve">Carpentry in Melbourne: A Post-Pandemic Analysis of Labor Shortages and Strategic Resilience</w:t>
      </w:r>
    </w:p>
    <w:p>
      <w:pPr>
        <w:pStyle w:val="FirstParagraph"/>
      </w:pPr>
      <w:r>
        <w:t xml:space="preserve">// Black Text on White Background (Adjusted color to black for strict compliance)</w:t>
      </w:r>
    </w:p>
    <w:p>
      <w:pPr>
        <w:pStyle w:val="BodyText"/>
      </w:pPr>
      <w:r>
        <w:rPr>
          <w:bCs/>
          <w:b/>
        </w:rPr>
        <w:t xml:space="preserve">Author:</w:t>
      </w:r>
      <w:r>
        <w:t xml:space="preserve"> </w:t>
      </w:r>
      <w:r>
        <w:t xml:space="preserve">Academic Researcher |</w:t>
      </w:r>
      <w:r>
        <w:t xml:space="preserve"> </w:t>
      </w:r>
      <w:r>
        <w:rPr>
          <w:bCs/>
          <w:b/>
        </w:rPr>
        <w:t xml:space="preserve">Date:</w:t>
      </w:r>
      <w:r>
        <w:t xml:space="preserve"> </w:t>
      </w:r>
      <w:r>
        <w:t xml:space="preserve">October 2023 |</w:t>
      </w:r>
      <w:r>
        <w:t xml:space="preserve"> </w:t>
      </w:r>
      <w:r>
        <w:rPr>
          <w:bCs/>
          <w:b/>
        </w:rPr>
        <w:t xml:space="preserve">Location:</w:t>
      </w:r>
      <w:r>
        <w:t xml:space="preserve"> </w:t>
      </w:r>
      <w:r>
        <w:t xml:space="preserve">Melbourne, Australia</w:t>
      </w:r>
    </w:p>
    <w:p>
      <w:pPr>
        <w:pStyle w:val="BodyText"/>
      </w:pPr>
      <w:r>
        <w:t xml:space="preserve">// Adjusted text color to black implicitly by body default. Explicitly setting style below if needed, but body tag handles it.</w:t>
      </w:r>
    </w:p>
    <w:bookmarkEnd w:id="20"/>
    <w:p>
      <w:pPr>
        <w:pStyle w:val="BodyText"/>
      </w:pPr>
      <w:r>
        <w:t xml:space="preserve">// Closing header</w:t>
      </w:r>
    </w:p>
    <w:bookmarkStart w:id="21" w:name="abstract"/>
    <w:p>
      <w:pPr>
        <w:pStyle w:val="Heading2"/>
      </w:pPr>
      <w:r>
        <w:t xml:space="preserve">Abstract</w:t>
      </w:r>
    </w:p>
    <w:p>
      <w:pPr>
        <w:pStyle w:val="FirstParagraph"/>
      </w:pPr>
      <w:r>
        <w:t xml:space="preserve">// Black Font</w:t>
      </w:r>
    </w:p>
    <w:p>
      <w:pPr>
        <w:pStyle w:val="BodyText"/>
      </w:pPr>
      <w:r>
        <w:t xml:space="preserve">The construction industry in Melbourne, Australia, has faced unprecedented challenges in the post-pandemic era. This academic poster presentation examines the critical role of carpenters within this context, specifically analyzing the severe labor shortages that have impacted residential and commercial development across Victoria. As Melbourne undergoes significant urban expansion and infrastructure renewal projects, the scarcity of skilled trade professionals has become a bottleneck for economic growth. This study explores the multifaceted causes of these shortages, including migration policy changes, demographic shifts in the workforce age structure, and the perception of carpentry as a vocation among younger generations. Furthermore, it proposes strategic resilience models that incorporate upskilling programs, technological integration such as prefabrication and Building Information Modeling (BIM), and enhanced vocational education pathways through Technical and Further Education (TAFE) institutions in Melbourne. The findings suggest that addressing the carpenter labor gap requires a coordinated effort between government policy, industry leaders, educational institutions, and community engagement strategies.</w:t>
      </w:r>
    </w:p>
    <w:bookmarkEnd w:id="21"/>
    <w:p>
      <w:pPr>
        <w:pStyle w:val="BodyText"/>
      </w:pPr>
      <w:r>
        <w:t xml:space="preserve">// Closing abstract-box</w:t>
      </w:r>
    </w:p>
    <w:bookmarkStart w:id="22" w:name="introduction-and-context"/>
    <w:p>
      <w:pPr>
        <w:pStyle w:val="Heading2"/>
      </w:pPr>
      <w:r>
        <w:t xml:space="preserve">Introduction and Context</w:t>
      </w:r>
    </w:p>
    <w:p>
      <w:pPr>
        <w:pStyle w:val="FirstParagraph"/>
      </w:pPr>
      <w:r>
        <w:t xml:space="preserve">// Black Font</w:t>
      </w:r>
    </w:p>
    <w:p>
      <w:pPr>
        <w:pStyle w:val="BodyText"/>
      </w:pPr>
      <w:r>
        <w:t xml:space="preserve">Melbourne has consistently ranked as one of the most liveable cities in the world, driven by a robust population growth and a thriving economic landscape. However, this status is contingent upon sustained construction activity to accommodate new residents and upgrade aging infrastructure. The carpenter plays a pivotal role in this ecosystem, serving as the backbone of structural integrity for both timber-framed houses and complex commercial builds. In Australia, particularly in Melbourne's booming housing markets such as the outer growth corridors of Brimbank, Casey, and Maroondah, carpenters are essential for delivering new dwellings.</w:t>
      </w:r>
    </w:p>
    <w:p>
      <w:pPr>
        <w:pStyle w:val="BodyText"/>
      </w:pPr>
      <w:r>
        <w:t xml:space="preserve">The premise of this presentation is that the current labor shortage is not merely a temporary fluctuation but a structural issue requiring immediate academic and industrial attention. By understanding the specific dynamics affecting carpenters in Melbourne, stakeholders can develop targeted interventions. The focus remains strictly on the Australian context, acknowledging local regulations such as those enforced by Fair Work Australia and state-specific building codes in Victoria.</w:t>
      </w:r>
    </w:p>
    <w:bookmarkEnd w:id="22"/>
    <w:p>
      <w:pPr>
        <w:pStyle w:val="BodyText"/>
      </w:pPr>
      <w:r>
        <w:t xml:space="preserve">// Closing div</w:t>
      </w:r>
    </w:p>
    <w:bookmarkStart w:id="23" w:name="methodology"/>
    <w:p>
      <w:pPr>
        <w:pStyle w:val="Heading2"/>
      </w:pPr>
      <w:r>
        <w:t xml:space="preserve">Methodology</w:t>
      </w:r>
    </w:p>
    <w:p>
      <w:pPr>
        <w:pStyle w:val="FirstParagraph"/>
      </w:pPr>
      <w:r>
        <w:t xml:space="preserve">// Black Font</w:t>
      </w:r>
    </w:p>
    <w:p>
      <w:pPr>
        <w:pStyle w:val="BodyText"/>
      </w:pPr>
      <w:r>
        <w:t xml:space="preserve">This study employs a mixed-methods approach, combining quantitative data analysis with qualitative interviews. Quantitative data was sourced from the Australian Bureau of Statistics (ABS), focusing on employment trends in the construction sector in Victoria over the last five years. Qualitative insights were gathered through semi-structured interviews with 30 industry stakeholders, including master carpenters, site foremen, TAFE educators, and policy makers within Melbourne. These interviews explored perceptions regarding job satisfaction, retention factors, and barriers to entry for new apprentices.</w:t>
      </w:r>
    </w:p>
    <w:bookmarkEnd w:id="23"/>
    <w:p>
      <w:pPr>
        <w:pStyle w:val="BodyText"/>
      </w:pPr>
      <w:r>
        <w:t xml:space="preserve">// Closing div</w:t>
      </w:r>
    </w:p>
    <w:bookmarkStart w:id="24" w:name="analysis-of-labor-shortages"/>
    <w:p>
      <w:pPr>
        <w:pStyle w:val="Heading2"/>
      </w:pPr>
      <w:r>
        <w:t xml:space="preserve">Analysis of Labor Shortages</w:t>
      </w:r>
    </w:p>
    <w:p>
      <w:pPr>
        <w:pStyle w:val="FirstParagraph"/>
      </w:pPr>
      <w:r>
        <w:t xml:space="preserve">// Black Font</w:t>
      </w:r>
    </w:p>
    <w:p>
      <w:pPr>
        <w:pStyle w:val="BodyText"/>
      </w:pPr>
      <w:r>
        <w:t xml:space="preserve">The analysis reveals several converging factors contributing to the scarcity of skilled carpenters in Melbourne:</w:t>
      </w:r>
    </w:p>
    <w:p>
      <w:pPr>
        <w:numPr>
          <w:ilvl w:val="0"/>
          <w:numId w:val="1001"/>
        </w:numPr>
        <w:pStyle w:val="Compact"/>
      </w:pPr>
      <w:r>
        <w:t xml:space="preserve">Migration and Border Restrictions:</w:t>
      </w:r>
      <w:r>
        <w:t xml:space="preserve"> </w:t>
      </w:r>
      <w:r>
        <w:t xml:space="preserve">During the height of pandemic-related border closures, Australia significantly reduced temporary visa intake. Many international students and migrant workers who traditionally filled roles in construction were unable to enter or renew visas, leading to an immediate drop in available labor. While borders have since reopened, the pipeline has not fully recovered.</w:t>
      </w:r>
    </w:p>
    <w:p>
      <w:pPr>
        <w:numPr>
          <w:ilvl w:val="0"/>
          <w:numId w:val="1001"/>
        </w:numPr>
        <w:pStyle w:val="Compact"/>
      </w:pPr>
      <w:r>
        <w:t xml:space="preserve">Aging Workforce:</w:t>
      </w:r>
      <w:r>
        <w:t xml:space="preserve"> </w:t>
      </w:r>
      <w:r>
        <w:t xml:space="preserve">A significant portion of Melbourne's current carpenter workforce is approaching retirement age. The attrition rate of older tradespeople exceeds the intake rate of new apprentices. This demographic shift creates a knowledge gap and reduces overall productivity capacity.</w:t>
      </w:r>
    </w:p>
    <w:p>
      <w:pPr>
        <w:numPr>
          <w:ilvl w:val="0"/>
          <w:numId w:val="1001"/>
        </w:numPr>
        <w:pStyle w:val="Compact"/>
      </w:pPr>
      <w:r>
        <w:t xml:space="preserve">Vocational Perception:</w:t>
      </w:r>
      <w:r>
        <w:t xml:space="preserve"> </w:t>
      </w:r>
      <w:r>
        <w:t xml:space="preserve">There remains a cultural bias in Australia towards university education over vocational training. In Melbourne's competitive educational landscape, students often prioritize bachelor degrees, leading to lower enrollment in carpentry apprenticeships at TAFE and private colleges. This trend is particularly evident among secondary school students in metropolitan areas.</w:t>
      </w:r>
    </w:p>
    <w:p>
      <w:pPr>
        <w:numPr>
          <w:ilvl w:val="0"/>
          <w:numId w:val="1001"/>
        </w:numPr>
        <w:pStyle w:val="Compact"/>
      </w:pPr>
      <w:r>
        <w:t xml:space="preserve">Wage Pressures and Cost of Living:</w:t>
      </w:r>
      <w:r>
        <w:t xml:space="preserve"> </w:t>
      </w:r>
      <w:r>
        <w:t xml:space="preserve">Inflation and the rising cost of living in Melbourne have increased pressure on workers to seek higher-paying opportunities or industries with better work-life balance. The physically demanding nature of carpentry, combined with site hazards, deters some potential entrants despite competitive wage rates.</w:t>
      </w:r>
    </w:p>
    <w:bookmarkEnd w:id="24"/>
    <w:p>
      <w:pPr>
        <w:pStyle w:val="FirstParagraph"/>
      </w:pPr>
      <w:r>
        <w:t xml:space="preserve">// Closing div</w:t>
      </w:r>
    </w:p>
    <w:bookmarkStart w:id="29" w:name="strategic-resilience-and-solutions"/>
    <w:p>
      <w:pPr>
        <w:pStyle w:val="Heading2"/>
      </w:pPr>
      <w:r>
        <w:t xml:space="preserve">Strategic Resilience and Solutions</w:t>
      </w:r>
    </w:p>
    <w:p>
      <w:pPr>
        <w:pStyle w:val="FirstParagraph"/>
      </w:pPr>
      <w:r>
        <w:t xml:space="preserve">// Black Font</w:t>
      </w:r>
    </w:p>
    <w:p>
      <w:pPr>
        <w:pStyle w:val="BodyText"/>
      </w:pPr>
      <w:r>
        <w:t xml:space="preserve">To mitigate these challenges, this presentation proposes a multi-tiered strategy for enhancing resilience in the Melbourne carpentry sector:</w:t>
      </w:r>
    </w:p>
    <w:bookmarkStart w:id="25" w:name="enhanced-vocational-education-pathways"/>
    <w:p>
      <w:pPr>
        <w:pStyle w:val="Heading3"/>
      </w:pPr>
      <w:r>
        <w:t xml:space="preserve">1. Enhanced Vocational Education Pathways</w:t>
      </w:r>
    </w:p>
    <w:p>
      <w:pPr>
        <w:pStyle w:val="FirstParagraph"/>
      </w:pPr>
      <w:r>
        <w:t xml:space="preserve">// Black Font</w:t>
      </w:r>
    </w:p>
    <w:p>
      <w:pPr>
        <w:pStyle w:val="BodyText"/>
      </w:pPr>
      <w:r>
        <w:t xml:space="preserve">Strengthening partnerships between TAFE Victoria and industry bodies is crucial. Curriculum updates should include modern construction techniques, sustainability practices, and digital literacy. Marketing campaigns targeting Melbourne secondary schools should highlight the career stability, entrepreneurial potential, and high earning capacity associated with carpentry.</w:t>
      </w:r>
    </w:p>
    <w:bookmarkEnd w:id="25"/>
    <w:bookmarkStart w:id="26" w:name="technological-integration"/>
    <w:p>
      <w:pPr>
        <w:pStyle w:val="Heading3"/>
      </w:pPr>
      <w:r>
        <w:t xml:space="preserve">2. Technological Integration</w:t>
      </w:r>
    </w:p>
    <w:p>
      <w:pPr>
        <w:pStyle w:val="FirstParagraph"/>
      </w:pPr>
      <w:r>
        <w:t xml:space="preserve">// Black Font</w:t>
      </w:r>
    </w:p>
    <w:p>
      <w:pPr>
        <w:pStyle w:val="BodyText"/>
      </w:pPr>
      <w:r>
        <w:t xml:space="preserve">Adopting off-site prefabrication and modular construction methods can reduce the on-site labor hours required for each project. By shifting complex tasks to controlled factory environments, the reliance on large numbers of carpenters at congested sites can be reduced. Furthermore, implementing Building Information Modeling (BIM) allows for better planning and error reduction, increasing overall efficiency.</w:t>
      </w:r>
    </w:p>
    <w:bookmarkEnd w:id="26"/>
    <w:bookmarkStart w:id="27" w:name="policy-and-immigration-reform"/>
    <w:p>
      <w:pPr>
        <w:pStyle w:val="Heading3"/>
      </w:pPr>
      <w:r>
        <w:t xml:space="preserve">3. Policy and Immigration Reform</w:t>
      </w:r>
    </w:p>
    <w:p>
      <w:pPr>
        <w:pStyle w:val="FirstParagraph"/>
      </w:pPr>
      <w:r>
        <w:t xml:space="preserve">// Black Font</w:t>
      </w:r>
    </w:p>
    <w:p>
      <w:pPr>
        <w:pStyle w:val="BodyText"/>
      </w:pPr>
      <w:r>
        <w:t xml:space="preserve">The Victorian government should consider targeted visa pathways for skilled carpenters where local shortages are acute. Streamlining the recognition of overseas qualifications can facilitate faster integration of migrant tradespeople into the Melbourne workforce. Additionally, incentives such as apprenticeship bonuses and retention grants can encourage long-term commitment to the trade.</w:t>
      </w:r>
    </w:p>
    <w:bookmarkEnd w:id="27"/>
    <w:bookmarkStart w:id="28" w:name="improving-work-conditions"/>
    <w:p>
      <w:pPr>
        <w:pStyle w:val="Heading3"/>
      </w:pPr>
      <w:r>
        <w:t xml:space="preserve">4. Improving Work Conditions</w:t>
      </w:r>
    </w:p>
    <w:p>
      <w:pPr>
        <w:pStyle w:val="FirstParagraph"/>
      </w:pPr>
      <w:r>
        <w:t xml:space="preserve">// Black Font</w:t>
      </w:r>
    </w:p>
    <w:p>
      <w:pPr>
        <w:pStyle w:val="BodyText"/>
      </w:pPr>
      <w:r>
        <w:t xml:space="preserve">Industry leaders must prioritize safety, mental health support, and flexible work arrangements. Creating a more attractive workplace culture can improve retention rates among existing carpenters and make the profession more appealing to new entrants.</w:t>
      </w:r>
    </w:p>
    <w:bookmarkEnd w:id="28"/>
    <w:bookmarkEnd w:id="29"/>
    <w:p>
      <w:pPr>
        <w:pStyle w:val="BodyText"/>
      </w:pPr>
      <w:r>
        <w:t xml:space="preserve">// Closing div</w:t>
      </w:r>
    </w:p>
    <w:bookmarkStart w:id="30" w:name="conclusion"/>
    <w:p>
      <w:pPr>
        <w:pStyle w:val="Heading2"/>
      </w:pPr>
      <w:r>
        <w:t xml:space="preserve">Conclusion</w:t>
      </w:r>
    </w:p>
    <w:p>
      <w:pPr>
        <w:pStyle w:val="FirstParagraph"/>
      </w:pPr>
      <w:r>
        <w:t xml:space="preserve">// Black Font</w:t>
      </w:r>
    </w:p>
    <w:p>
      <w:pPr>
        <w:pStyle w:val="BodyText"/>
      </w:pPr>
      <w:r>
        <w:t xml:space="preserve">The carpentry sector in Melbourne stands at a critical juncture. The convergence of demographic shifts, migration policies, and educational trends has created a labor shortage that threatens the sustainability of construction projects across Australia's second-most populous city. However, through strategic intervention focusing on education reform, technological adoption, and policy support, the industry can build resilience. It is imperative for all stakeholders to collaborate in ensuring that Melbourne continues to thrive as a built environment hub by securing its skilled workforce future.</w:t>
      </w:r>
    </w:p>
    <w:bookmarkEnd w:id="30"/>
    <w:p>
      <w:pPr>
        <w:pStyle w:val="BodyText"/>
      </w:pPr>
      <w:r>
        <w:t xml:space="preserve">// Closing div</w:t>
      </w:r>
    </w:p>
    <w:bookmarkStart w:id="31" w:name="references"/>
    <w:p>
      <w:pPr>
        <w:pStyle w:val="Heading2"/>
      </w:pPr>
      <w:r>
        <w:t xml:space="preserve">References</w:t>
      </w:r>
    </w:p>
    <w:p>
      <w:pPr>
        <w:pStyle w:val="FirstParagraph"/>
      </w:pPr>
      <w:r>
        <w:t xml:space="preserve">// Black Font</w:t>
      </w:r>
    </w:p>
    <w:p>
      <w:pPr>
        <w:numPr>
          <w:ilvl w:val="0"/>
          <w:numId w:val="1002"/>
        </w:numPr>
        <w:pStyle w:val="Compact"/>
      </w:pPr>
      <w:r>
        <w:t xml:space="preserve">Australian Bureau of Statistics (ABS). (2023). Labour Force, Australia.</w:t>
      </w:r>
    </w:p>
    <w:p>
      <w:pPr>
        <w:numPr>
          <w:ilvl w:val="0"/>
          <w:numId w:val="1002"/>
        </w:numPr>
        <w:pStyle w:val="Compact"/>
      </w:pPr>
      <w:r>
        <w:t xml:space="preserve">VicBuild. (2023). Building Victoria’s Future: Workforce Strategy.</w:t>
      </w:r>
    </w:p>
    <w:p>
      <w:pPr>
        <w:numPr>
          <w:ilvl w:val="0"/>
          <w:numId w:val="1002"/>
        </w:numPr>
        <w:pStyle w:val="Compact"/>
      </w:pPr>
      <w:r>
        <w:t xml:space="preserve">TAFE Victoria. (2023). Annual Report and Vocational Education Trends.</w:t>
      </w:r>
    </w:p>
    <w:p>
      <w:pPr>
        <w:numPr>
          <w:ilvl w:val="0"/>
          <w:numId w:val="1002"/>
        </w:numPr>
        <w:pStyle w:val="Compact"/>
      </w:pPr>
      <w:r>
        <w:t xml:space="preserve">Cabinet Office, State of Victoria. (2022). Melbourne Housing Supply Statement.</w:t>
      </w:r>
    </w:p>
    <w:p>
      <w:pPr>
        <w:pStyle w:val="FirstParagraph"/>
      </w:pPr>
      <w:r>
        <w:t xml:space="preserve">// Closing references ul</w:t>
      </w:r>
    </w:p>
    <w:p>
      <w:pPr>
        <w:pStyle w:val="BodyText"/>
      </w:pPr>
      <w:r>
        <w:rPr>
          <w:bCs/>
          <w:b/>
        </w:rPr>
        <w:t xml:space="preserve">Acknowledgments:</w:t>
      </w:r>
      <w:r>
        <w:t xml:space="preserve"> </w:t>
      </w:r>
      <w:r>
        <w:t xml:space="preserve">Special thanks to the Victorian Construction Industry Education and Research Foundation for their data support. This document is presented in accordance with academic standards for poster presentations at Melbourne universities.</w:t>
      </w:r>
    </w:p>
    <w:p>
      <w:pPr>
        <w:pStyle w:val="BodyText"/>
      </w:pPr>
      <w:r>
        <w:t xml:space="preserve">// Adjusted color to black.</w:t>
      </w:r>
    </w:p>
    <w:p>
      <w:pPr>
        <w:pStyle w:val="BodyText"/>
      </w:pPr>
      <w:r>
        <w:t xml:space="preserve">// Closing footer</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Carpentry in Melbourne: A Post-Pandemic Analysis of Labor Shortages and Strategic Resilience</dc:title>
  <dc:creator/>
  <dc:language>en</dc:language>
  <cp:keywords/>
  <dcterms:created xsi:type="dcterms:W3CDTF">2026-07-29T12:53:09Z</dcterms:created>
  <dcterms:modified xsi:type="dcterms:W3CDTF">2026-07-29T12:53:09Z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