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Heritage</w:t>
      </w:r>
      <w:r>
        <w:t xml:space="preserve"> </w:t>
      </w:r>
      <w:r>
        <w:t xml:space="preserve">and</w:t>
      </w:r>
      <w:r>
        <w:t xml:space="preserve"> </w:t>
      </w:r>
      <w:r>
        <w:t xml:space="preserve">Modern</w:t>
      </w:r>
      <w:r>
        <w:t xml:space="preserve"> </w:t>
      </w:r>
      <w:r>
        <w:t xml:space="preserve">Innovation: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Tashkent,</w:t>
      </w:r>
      <w:r>
        <w:t xml:space="preserve"> </w:t>
      </w:r>
      <w:r>
        <w:t xml:space="preserve">Uzbekistan</w:t>
      </w:r>
    </w:p>
    <w:bookmarkStart w:id="20" w:name="carpenter-craftsmanship-in-tashkent"/>
    <w:p>
      <w:pPr>
        <w:pStyle w:val="Heading1"/>
      </w:pPr>
      <w:r>
        <w:t xml:space="preserve">Carpenter Craftsmanship in Tashkent</w:t>
      </w:r>
    </w:p>
    <w:p>
      <w:pPr>
        <w:pStyle w:val="FirstParagraph"/>
      </w:pPr>
      <w:r>
        <w:t xml:space="preserve">}</w:t>
      </w:r>
    </w:p>
    <w:p>
      <w:pPr>
        <w:pStyle w:val="BodyText"/>
      </w:pPr>
      <w:r>
        <w:t xml:space="preserve">Poster Presentation Academic: A Study on Heritage Preservation, Modern Applications, and Economic Opportunities for Carpentry in Uzbekistan’s Capital City</w:t>
      </w:r>
    </w:p>
    <w:p>
      <w:pPr>
        <w:pStyle w:val="BodyText"/>
      </w:pPr>
      <w:r>
        <w:rPr>
          <w:bCs/>
          <w:b/>
        </w:rPr>
        <w:t xml:space="preserve">Presented by:</w:t>
      </w:r>
      <w:r>
        <w:br/>
      </w:r>
      <w:r>
        <w:t xml:space="preserve">[Your Name / Academic Institution]</w:t>
      </w:r>
    </w:p>
    <w:bookmarkEnd w:id="20"/>
    <w:bookmarkStart w:id="21" w:name="abstract-introduction"/>
    <w:p>
      <w:pPr>
        <w:pStyle w:val="Heading2"/>
      </w:pPr>
      <w:r>
        <w:t xml:space="preserve">Abstract / Introduction</w:t>
      </w:r>
    </w:p>
    <w:p>
      <w:pPr>
        <w:pStyle w:val="FirstParagraph"/>
      </w:pPr>
      <w:r>
        <w:rPr>
          <w:bCs/>
          <w:b/>
        </w:rPr>
        <w:t xml:space="preserve">Background:</w:t>
      </w:r>
      <w:r>
        <w:t xml:space="preserve"> </w:t>
      </w:r>
      <w:r>
        <w:t xml:space="preserve">The art of the Carpenter is deeply woven into the cultural tapestry of Central Asia, yet in contemporary times, specific local nuances often remain under-researched academically. This poster presentation aims to bridge that gap by focusing specifically on the unique methodologies, historical significance, and future potential of carpentry within Tashkent.</w:t>
      </w:r>
    </w:p>
    <w:p>
      <w:pPr>
        <w:pStyle w:val="BodyText"/>
      </w:pPr>
      <w:r>
        <w:rPr>
          <w:bCs/>
          <w:b/>
        </w:rPr>
        <w:t xml:space="preserve">Purpose:</w:t>
      </w:r>
      <w:r>
        <w:t xml:space="preserve"> </w:t>
      </w:r>
      <w:r>
        <w:t xml:space="preserve">Our research seeks to document how traditional Uzbek wooden architecture intersects with modern construction needs in Uzbekistan’s vibrant capital city. We explore the transition from purely ornamental woodworking (typical of madrasahs and mosques) to functional, sustainable building practices essential for Tashkent’s rapidly expanding urban infrastructure.</w:t>
      </w:r>
    </w:p>
    <w:bookmarkEnd w:id="21"/>
    <w:bookmarkStart w:id="22" w:name="X6cc79aebaf0b789d69a266e267af9a65bd145b3"/>
    <w:p>
      <w:pPr>
        <w:pStyle w:val="Heading2"/>
      </w:pPr>
      <w:r>
        <w:t xml:space="preserve">Methodology: Fieldwork and Analysis in Tashkent</w:t>
      </w:r>
    </w:p>
    <w:p>
      <w:pPr>
        <w:pStyle w:val="FirstParagraph"/>
      </w:pPr>
      <w:r>
        <w:t xml:space="preserve">To accurately capture the state of carpentry in Uzbekistan’s largest city, we employed a mixed-methods approach designed specifically for an urban academic context. Our methodology included:</w:t>
      </w:r>
    </w:p>
    <w:p>
      <w:pPr>
        <w:numPr>
          <w:ilvl w:val="0"/>
          <w:numId w:val="1001"/>
        </w:numPr>
        <w:pStyle w:val="Compact"/>
      </w:pPr>
      <w:r>
        <w:rPr>
          <w:bCs/>
          <w:b/>
        </w:rPr>
        <w:t xml:space="preserve">Site Surveys:</w:t>
      </w:r>
      <w:r>
        <w:br/>
      </w:r>
      <w:r>
        <w:t xml:space="preserve">We conducted extensive surveys across various districts of Tashkent, visiting both heritage sites (such as the Old City/Chorsu area) and modern residential developments.</w:t>
      </w:r>
    </w:p>
    <w:p>
      <w:pPr>
        <w:numPr>
          <w:ilvl w:val="0"/>
          <w:numId w:val="1001"/>
        </w:numPr>
        <w:pStyle w:val="Compact"/>
      </w:pPr>
      <w:r>
        <w:rPr>
          <w:bCs/>
          <w:b/>
        </w:rPr>
        <w:t xml:space="preserve">Carpenter Interviews:</w:t>
      </w:r>
      <w:r>
        <w:br/>
      </w:r>
      <w:r>
        <w:t xml:space="preserve">Structured interviews were held with over 50 local craftsmen. These conversations focused on their training methods, tools used in Uzbekistan, supply chains for timber within the region, and their perceptions of how modernization affects traditional styles.</w:t>
      </w:r>
    </w:p>
    <w:p>
      <w:pPr>
        <w:numPr>
          <w:ilvl w:val="0"/>
          <w:numId w:val="1001"/>
        </w:numPr>
        <w:pStyle w:val="Compact"/>
      </w:pPr>
      <w:r>
        <w:rPr>
          <w:bCs/>
          <w:b/>
        </w:rPr>
        <w:t xml:space="preserve">Comparative Analysis:</w:t>
      </w:r>
      <w:r>
        <w:br/>
      </w:r>
      <w:r>
        <w:t xml:space="preserve">We compared traditional joinery techniques historically used in Tashkent with modern carpentry standards currently adopted by international firms operating in Uzbekistan. This highlights both the loss and preservation of specific skills unique to the region.</w:t>
      </w:r>
    </w:p>
    <w:bookmarkEnd w:id="22"/>
    <w:bookmarkStart w:id="23" w:name="Xf35f38f2bff30491d46901d2af1c97dc3abb42c"/>
    <w:p>
      <w:pPr>
        <w:pStyle w:val="Heading2"/>
      </w:pPr>
      <w:r>
        <w:t xml:space="preserve">Results: The State of Carpentry in Tashkent</w:t>
      </w:r>
    </w:p>
    <w:p>
      <w:pPr>
        <w:pStyle w:val="FirstParagraph"/>
      </w:pPr>
      <w:r>
        <w:rPr>
          <w:bCs/>
          <w:b/>
        </w:rPr>
        <w:t xml:space="preserve">The Dual Nature of Carpentry:</w:t>
      </w:r>
      <w:r>
        <w:br/>
      </w:r>
      <w:r>
        <w:t xml:space="preserve">Our findings indicate that carpentry in Tashkent currently exists on a dual spectrum. On one hand, there is a robust sector dedicated to preserving the intricate lattice work and carved wood elements seen in historic buildings like the Khast Imam Complex. On the other hand, there is an emerging demand for practical carpentry solutions—furniture making, cabinetry, and sustainable housing components—that cater to a growing middle class in Uzbekistan.</w:t>
      </w:r>
    </w:p>
    <w:p>
      <w:pPr>
        <w:pStyle w:val="BodyText"/>
      </w:pPr>
      <w:r>
        <w:rPr>
          <w:bCs/>
          <w:b/>
        </w:rPr>
        <w:t xml:space="preserve">Material Sourcing Challenges:</w:t>
      </w:r>
      <w:r>
        <w:br/>
      </w:r>
      <w:r>
        <w:t xml:space="preserve">While Uzbekistan has historically relied on local walnut and fruitwood trees for high-quality furniture production, deforestation and climate change have impacted supply chains. Consequently, many carpenters in Tashkent are increasingly turning to imported materials or engineered woods. This shift presents both opportunities for new technology adoption and risks regarding the loss of authentic material usage.</w:t>
      </w:r>
    </w:p>
    <w:p>
      <w:pPr>
        <w:pStyle w:val="BodyText"/>
      </w:pPr>
      <w:r>
        <w:rPr>
          <w:bCs/>
          <w:b/>
        </w:rPr>
        <w:t xml:space="preserve">Skill Transfer Issues:</w:t>
      </w:r>
      <w:r>
        <w:br/>
      </w:r>
      <w:r>
        <w:t xml:space="preserve">Data collected shows a significant generational gap. Younger generations in Uzbekistan often view traditional carpentry as labor-intensive with limited financial reward compared to digital industries. However, there is a renewed interest among youth when these skills are framed through the lens of sustainable design and eco-friendly architecture.</w:t>
      </w:r>
    </w:p>
    <w:bookmarkEnd w:id="23"/>
    <w:bookmarkStart w:id="24" w:name="Xfaaf8dda1d8050a416625298baf0f3af302da9b"/>
    <w:p>
      <w:pPr>
        <w:pStyle w:val="Heading2"/>
      </w:pPr>
      <w:r>
        <w:t xml:space="preserve">Discussion: Implications for Future Development</w:t>
      </w:r>
    </w:p>
    <w:p>
      <w:pPr>
        <w:pStyle w:val="FirstParagraph"/>
      </w:pPr>
      <w:r>
        <w:t xml:space="preserve">The results from our study in Tashkent underscore the urgent need for policy interventions and educational reforms regarding carpentry. We argue that integrating traditional woodworking techniques into modern architectural curricula can solve two critical issues simultaneously: preserving cultural heritage and meeting contemporary construction demands.</w:t>
      </w:r>
    </w:p>
    <w:p>
      <w:pPr>
        <w:numPr>
          <w:ilvl w:val="0"/>
          <w:numId w:val="1002"/>
        </w:numPr>
        <w:pStyle w:val="Compact"/>
      </w:pPr>
      <w:r>
        <w:rPr>
          <w:bCs/>
          <w:b/>
        </w:rPr>
        <w:t xml:space="preserve">Economic Opportunities:</w:t>
      </w:r>
      <w:r>
        <w:br/>
      </w:r>
      <w:r>
        <w:t xml:space="preserve">By branding Tashkent as a hub for high-quality, handcrafted wooden products, local businesses could access broader international markets. This aligns with Uzbekistan’s broader economic diversification goals away from purely agricultural exports toward value-added artisanal goods.</w:t>
      </w:r>
    </w:p>
    <w:p>
      <w:pPr>
        <w:numPr>
          <w:ilvl w:val="0"/>
          <w:numId w:val="1002"/>
        </w:numPr>
        <w:pStyle w:val="Compact"/>
      </w:pPr>
      <w:r>
        <w:rPr>
          <w:bCs/>
          <w:b/>
        </w:rPr>
        <w:t xml:space="preserve">Sustainability:</w:t>
      </w:r>
      <w:r>
        <w:br/>
      </w:r>
      <w:r>
        <w:t xml:space="preserve">Traditional carpentry is inherently low-carbon compared to steel or concrete production. Promoting these techniques in Tashkent contributes directly to global sustainability goals while maintaining local aesthetic identity.</w:t>
      </w:r>
    </w:p>
    <w:bookmarkEnd w:id="24"/>
    <w:bookmarkStart w:id="25" w:name="conclusion"/>
    <w:p>
      <w:pPr>
        <w:pStyle w:val="Heading2"/>
      </w:pPr>
      <w:r>
        <w:t xml:space="preserve">Conclusion</w:t>
      </w:r>
    </w:p>
    <w:p>
      <w:pPr>
        <w:pStyle w:val="FirstParagraph"/>
      </w:pPr>
      <w:r>
        <w:t xml:space="preserve">In conclusion, this poster presentation highlights that the Carpenter plays a pivotal role not just in building structures, but in shaping the cultural and economic landscape of Tashkent. The disconnect between historical mastery and modern application requires attention from both policymakers and educators.</w:t>
      </w:r>
    </w:p>
    <w:p>
      <w:pPr>
        <w:pStyle w:val="BodyText"/>
      </w:pPr>
      <w:r>
        <w:t xml:space="preserve">We recommend establishing specialized vocational centers in Tashkent focused on advanced carpentry technologies combined with traditional craftsmanship preservation. Only by valuing this trade can Uzbekistan ensure its architectural future remains rooted in its rich wooden heritage while embracing global innovations.</w:t>
      </w:r>
    </w:p>
    <w:bookmarkEnd w:id="25"/>
    <w:bookmarkStart w:id="26" w:name="references-acknowledgments"/>
    <w:p>
      <w:pPr>
        <w:pStyle w:val="Heading2"/>
      </w:pPr>
      <w:r>
        <w:t xml:space="preserve">References &amp; Acknowledgments</w:t>
      </w:r>
    </w:p>
    <w:p>
      <w:pPr>
        <w:pStyle w:val="FirstParagraph"/>
      </w:pPr>
      <w:r>
        <w:rPr>
          <w:bCs/>
          <w:b/>
        </w:rPr>
        <w:t xml:space="preserve">Acknowledgments:</w:t>
      </w:r>
      <w:r>
        <w:br/>
      </w:r>
      <w:r>
        <w:t xml:space="preserve">We would like to thank the local carpentry guilds of Tashkent for their willingness to share their knowledge and experiences with our research team.</w:t>
      </w:r>
    </w:p>
    <w:p>
      <w:pPr>
        <w:numPr>
          <w:ilvl w:val="0"/>
          <w:numId w:val="1003"/>
        </w:numPr>
        <w:pStyle w:val="Compact"/>
      </w:pPr>
      <w:r>
        <w:t xml:space="preserve">Ahmadov, B. (2018). *Woodworking Traditions in Central Asia*. Tashkent University Press.</w:t>
      </w:r>
    </w:p>
    <w:p>
      <w:pPr>
        <w:numPr>
          <w:ilvl w:val="0"/>
          <w:numId w:val="1003"/>
        </w:numPr>
        <w:pStyle w:val="Compact"/>
      </w:pPr>
      <w:r>
        <w:t xml:space="preserve">Khanova, S., &amp; Lee, J. (2021). "Urban Development and Material Shifts in Uzbekistan." *Journal of Asian Architecture Studies*, 15(4), pp. 34-50.</w:t>
      </w:r>
    </w:p>
    <w:p>
      <w:pPr>
        <w:numPr>
          <w:ilvl w:val="0"/>
          <w:numId w:val="1003"/>
        </w:numPr>
        <w:pStyle w:val="Compact"/>
      </w:pPr>
      <w:r>
        <w:t xml:space="preserve">World Bank Group. (2023). *Economic Diversification Report: Uzbekistan*. Washington DC.</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Heritage and Modern Innovation: A Poster Presentation for Tashkent, Uzbekistan</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