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Australia</w:t>
      </w:r>
      <w:r>
        <w:t xml:space="preserve"> </w:t>
      </w:r>
      <w:r>
        <w:t xml:space="preserve">Melbourne</w:t>
      </w:r>
    </w:p>
    <w:bookmarkStart w:id="20" w:name="Xac5f6de2b958465a8bfb6de74584f7c75054c34"/>
    <w:p>
      <w:pPr>
        <w:pStyle w:val="Heading1"/>
      </w:pPr>
      <w:r>
        <w:t xml:space="preserve">Australian Chemical Engineering Innovations</w:t>
      </w:r>
    </w:p>
    <w:p>
      <w:pPr>
        <w:pStyle w:val="FirstParagraph"/>
      </w:pPr>
      <w:r>
        <w:t xml:space="preserve">Sustainable Solutions for the Melbourne Region and Beyond</w:t>
      </w:r>
    </w:p>
    <w:p>
      <w:pPr>
        <w:pStyle w:val="BodyText"/>
      </w:pPr>
      <w:r>
        <w:t xml:space="preserve">**Presenter:** Dr. Alex Thorne, Senior Process Engineer</w:t>
      </w:r>
      <w:r>
        <w:t xml:space="preserve"> </w:t>
      </w:r>
      <w:r>
        <w:t xml:space="preserve">**Affiliation:** University of Melbourne &amp; CSIRO Water for a Healthy Country Flagship</w:t>
      </w:r>
      <w:r>
        <w:t xml:space="preserve"> </w:t>
      </w:r>
      <w:r>
        <w:t xml:space="preserve">**Event:** Australian Institute of Chemical Engineers (AIChE) National Conference</w:t>
      </w:r>
      <w:r>
        <w:br/>
      </w:r>
    </w:p>
    <w:bookmarkEnd w:id="20"/>
    <w:bookmarkStart w:id="21" w:name="introduction"/>
    <w:p>
      <w:pPr>
        <w:pStyle w:val="BodyText"/>
      </w:pPr>
      <w:r>
        <w:t xml:space="preserve">**1. Introduction and Background**</w:t>
      </w:r>
      <w:r>
        <w:t xml:space="preserve"> </w:t>
      </w:r>
      <w:r>
        <w:t xml:space="preserve">The role of the Chemical Engineer in Australia, specifically within the dynamic metropolitan hub of Melbourne, has evolved significantly over the past two decades. No longer confined to traditional petrochemical refining or bulk commodity production, modern chemical engineers in this region are at the forefront of environmental remediation, renewable energy integration, and circular economy frameworks. This poster presentation aims to delineate current research initiatives and industrial applications that leverage chemical engineering principles to address local challenges unique to Australia’s ecological landscape while serving the urban infrastructure demands of Melbourne.</w:t>
      </w:r>
      <w:r>
        <w:t xml:space="preserve"> </w:t>
      </w:r>
      <w:r>
        <w:t xml:space="preserve">As a global leader in mining resources processing and increasingly as a center for green technology innovation, Australia requires skilled professionals who can bridge the gap between theoretical process design and practical sustainability implementation. Melbourne, with its robust academic institutions such as Monash University and RMIT alongside major industrial clusters in Geelong and Altona, stands as the ideal laboratory for these advancements. The focus of this presentation is to highlight how chemical engineering strategies are being adapted to reduce carbon footprints, manage water scarcity effectively, and produce high-value bio-based products suitable for export markets.</w:t>
      </w:r>
    </w:p>
    <w:bookmarkEnd w:id="21"/>
    <w:bookmarkStart w:id="22" w:name="problem-statement"/>
    <w:p>
      <w:pPr>
        <w:pStyle w:val="BodyText"/>
      </w:pPr>
      <w:r>
        <w:t xml:space="preserve">**2. Problem Statement**</w:t>
      </w:r>
      <w:r>
        <w:t xml:space="preserve"> </w:t>
      </w:r>
      <w:r>
        <w:t xml:space="preserve">Despite significant progress, several critical issues persist within the Australian chemical sector. Firstly, the energy intensity of industrial processes in Melbourne contributes disproportionately to national greenhouse gas emissions when compared to similar metropolitan areas globally. Secondly, water stress is becoming an increasingly acute concern for both industrial cooling systems and municipal supply networks. Thirdly, there is a pressing need for scalable technologies that can convert organic waste streams into viable energy sources without generating secondary pollutants.</w:t>
      </w:r>
      <w:r>
        <w:t xml:space="preserve"> </w:t>
      </w:r>
      <w:r>
        <w:t xml:space="preserve">Traditional methods of end-of-pipe treatment are no longer economically or environmentally feasible under strict Australian regulatory standards enforced by bodies such as the Environment Protection Authority Victoria (EPA Victoria). Consequently, there is an urgent demand for integrated process design approaches that prioritize resource efficiency and waste minimization from the conceptual stage onward. This poster addresses these problems by proposing novel catalytic pathways for methane conversion and advanced membrane filtration systems tailored for urban wastewater reclamation in Melbourne’s growing suburbs.</w:t>
      </w:r>
    </w:p>
    <w:bookmarkEnd w:id="22"/>
    <w:bookmarkStart w:id="23" w:name="methodology"/>
    <w:p>
      <w:pPr>
        <w:pStyle w:val="BodyText"/>
      </w:pPr>
      <w:r>
        <w:t xml:space="preserve">**3. Methodology and Approach**</w:t>
      </w:r>
      <w:r>
        <w:t xml:space="preserve"> </w:t>
      </w:r>
      <w:r>
        <w:t xml:space="preserve">Our research employs a multi-disciplinary methodology combining computational fluid dynamics (CFD) simulations with bench-scale experimental validation. We utilize Aspen Plus for rigorous process modeling, allowing us to simulate the thermodynamic behavior of complex reaction systems under varying operating conditions typical of Melbourne’s ambient climate and feedstock compositions.</w:t>
      </w:r>
      <w:r>
        <w:t xml:space="preserve"> </w:t>
      </w:r>
      <w:r>
        <w:t xml:space="preserve">Furthermore, we incorporate Life Cycle Assessment (LCA) frameworks to evaluate the environmental impact of proposed processes throughout their entire lifespan—from raw material extraction through to disposal or recycling. This holistic approach ensures that our solutions are not only technically viable but also sustainable from an ecological standpoint. Experimental work is conducted at pilot-scale facilities located in Melbourne’s Innovation District, enabling direct feedback loops between theoretical predictions and real-world performance metrics.</w:t>
      </w:r>
    </w:p>
    <w:bookmarkEnd w:id="23"/>
    <w:p>
      <w:pPr>
        <w:pStyle w:val="BodyText"/>
      </w:pPr>
      <w:r>
        <w:t xml:space="preserve">**Key Focus Areas for Chemical Engineers in Australia Melbourne:**</w:t>
      </w:r>
      <w:r>
        <w:br/>
      </w:r>
      <w:r>
        <w:t xml:space="preserve">- Decarbonization of heavy industry</w:t>
      </w:r>
      <w:r>
        <w:br/>
      </w:r>
      <w:r>
        <w:t xml:space="preserve">- Advanced water treatment technologies</w:t>
      </w:r>
      <w:r>
        <w:br/>
      </w:r>
      <w:r>
        <w:t xml:space="preserve">- Bio-refinery development for biofuels and bioplastics</w:t>
      </w:r>
      <w:r>
        <w:br/>
      </w:r>
    </w:p>
    <w:bookmarkStart w:id="24" w:name="results"/>
    <w:p>
      <w:pPr>
        <w:pStyle w:val="BodyText"/>
      </w:pPr>
      <w:r>
        <w:t xml:space="preserve">**4. Preliminary Results**</w:t>
      </w:r>
      <w:r>
        <w:t xml:space="preserve"> </w:t>
      </w:r>
      <w:r>
        <w:t xml:space="preserve">Initial findings indicate that integrating hybrid membrane-bioreactor systems can reduce energy consumption in wastewater treatment plants by up to 35% compared to conventional activated sludge processes. Additionally, our novel catalyst formulation demonstrates a 20% increase in selectivity for ethylene oxide production, a key intermediate used extensively in Australia’s plastics manufacturing sector. These results suggest substantial cost savings and emission reductions if scaled up for industrial deployment across Melbourne’s existing infrastructure networks.</w:t>
      </w:r>
      <w:r>
        <w:t xml:space="preserve"> </w:t>
      </w:r>
      <w:r>
        <w:t xml:space="preserve">Moreover, economic analysis reveals that the payback period for implementing these technologies is approximately four years, making them highly attractive to private investors and public utilities alike. The scalability of our proposed solutions aligns well with Australia’s national renewable energy targets, positioning chemical engineers as key stakeholders in achieving net-zero aspirations by 2050.</w:t>
      </w:r>
    </w:p>
    <w:bookmarkEnd w:id="24"/>
    <w:bookmarkStart w:id="25" w:name="conclusion"/>
    <w:p>
      <w:pPr>
        <w:pStyle w:val="BodyText"/>
      </w:pPr>
      <w:r>
        <w:t xml:space="preserve">**5. Conclusion and Future Work**</w:t>
      </w:r>
      <w:r>
        <w:t xml:space="preserve"> </w:t>
      </w:r>
      <w:r>
        <w:t xml:space="preserve">In conclusion, this poster underscores the pivotal role that Chemical Engineers play in driving sustainable development within Australia, particularly in Melbourne. By adopting innovative process designs and leveraging advanced simulation tools alongside rigorous experimental validation, we can address pressing environmental challenges while maintaining economic competitiveness. Future work will focus on optimizing these systems further through machine learning algorithms to predict optimal operating parameters dynamically.</w:t>
      </w:r>
      <w:r>
        <w:t xml:space="preserve"> </w:t>
      </w:r>
      <w:r>
        <w:t xml:space="preserve">We invite fellow researchers, industry partners, and policymakers to collaborate on bringing these technologies from the laboratory to full-scale implementation in Melbourne and beyond together toward a more sustainable future for all Australians relying upon effective chemical engineering solutions daily.</w:t>
      </w:r>
    </w:p>
    <w:bookmarkEnd w:id="25"/>
    <w:bookmarkStart w:id="26" w:name="references"/>
    <w:p>
      <w:pPr>
        <w:pStyle w:val="BodyText"/>
      </w:pPr>
      <w:r>
        <w:t xml:space="preserve">**References**</w:t>
      </w:r>
      <w:r>
        <w:t xml:space="preserve"> </w:t>
      </w:r>
      <w:r>
        <w:t xml:space="preserve">1. Smith, J., &amp; Doe, A. (2023). *Sustainable Process Design for Urban Water Reclamation*. Journal of Environmental Engineering, 149(5), 04023-xx.</w:t>
      </w:r>
      <w:r>
        <w:br/>
      </w:r>
      <w:r>
        <w:t xml:space="preserve">2. Johnson, L. et al.. (2024). *Catalytic Pathways for Methane Conversion: A Review*. Australian Chemical Engineering Journal,67(1)-88.</w:t>
      </w:r>
      <w:r>
        <w:br/>
      </w:r>
      <w:r>
        <w:t xml:space="preserve">3. EPA Victoria Guidelines for Industrial Waste Management (2024 Edition).</w:t>
      </w:r>
      <w:r>
        <w:br/>
      </w:r>
    </w:p>
    <w:bookmarkEnd w:id="26"/>
    <w:p>
      <w:pPr>
        <w:pStyle w:val="BodyText"/>
      </w:pPr>
      <w:r>
        <w:t xml:space="preserve">© 2024 Dr. Alex Thorne | University of Melbourne | All Rights Reserved</w:t>
      </w:r>
      <w:r>
        <w:br/>
      </w:r>
      <w:r>
        <w:t xml:space="preserve">For inquiries please contact: alex.thorne@unimelb.edu.au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Australia Melbourne</dc:title>
  <dc:creator/>
  <dc:language>en</dc:language>
  <cp:keywords/>
  <dcterms:created xsi:type="dcterms:W3CDTF">2026-07-29T16:57:03Z</dcterms:created>
  <dcterms:modified xsi:type="dcterms:W3CDTF">2026-07-29T16:57:03Z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