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AceChem</w:t>
      </w:r>
      <w:r>
        <w:t xml:space="preserve"> </w:t>
      </w:r>
      <w:r>
        <w:t xml:space="preserve">Conference:</w:t>
      </w:r>
      <w:r>
        <w:t xml:space="preserve"> </w:t>
      </w:r>
      <w:r>
        <w:t xml:space="preserve">Poster</w:t>
      </w:r>
      <w:r>
        <w:t xml:space="preserve"> </w:t>
      </w:r>
      <w:r>
        <w:t xml:space="preserve">Presentation</w:t>
      </w:r>
    </w:p>
    <w:bookmarkStart w:id="20" w:name="Xc588d3dde8263ff4f19435bf11116c923b36a1f"/>
    <w:p>
      <w:pPr>
        <w:pStyle w:val="Heading1"/>
      </w:pPr>
      <w:r>
        <w:t xml:space="preserve">AceChem Conference: Poster Presentation Academic Document</w:t>
      </w:r>
    </w:p>
    <w:p>
      <w:pPr>
        <w:pStyle w:val="FirstParagraph"/>
      </w:pPr>
      <w:r>
        <w:rPr>
          <w:bCs/>
          <w:b/>
        </w:rPr>
        <w:t xml:space="preserve">Title:</w:t>
      </w:r>
      <w:r>
        <w:t xml:space="preserve"> Sustainable Catalytic Processes for Green Hydrogen Production: A Chemical Engineer’s Perspective on Industrial Scalability in Germany Berlin.</w:t>
      </w:r>
    </w:p>
    <w:p>
      <w:pPr>
        <w:pStyle w:val="BodyText"/>
      </w:pPr>
      <w:r>
        <w:rPr>
          <w:bCs/>
          <w:b/>
        </w:rPr>
        <w:t xml:space="preserve">Author:</w:t>
      </w:r>
      <w:r>
        <w:t xml:space="preserve"> Dr. Elena Vogel, Senior Chemical Engineer.</w:t>
      </w:r>
    </w:p>
    <w:p>
      <w:pPr>
        <w:pStyle w:val="BodyText"/>
      </w:pPr>
      <w:r>
        <w:rPr>
          <w:bCs/>
          <w:b/>
        </w:rPr>
        <w:t xml:space="preserve">Institution: </w:t>
      </w:r>
      <w:r>
        <w:t xml:space="preserve">Institute of Advanced Reaction Engineering, Berlin University of Technology.</w:t>
      </w:r>
    </w:p>
    <w:bookmarkEnd w:id="20"/>
    <w:bookmarkStart w:id="21" w:name="section"/>
    <w:p>
      <w:pPr>
        <w:pStyle w:val="Heading2"/>
      </w:pPr>
    </w:p>
    <w:p>
      <w:pPr>
        <w:pStyle w:val="FirstParagraph"/>
      </w:pPr>
      <w:r>
        <w:t xml:space="preserve">This document serves as a comprehensive summary for the poster presentation to be displayed at the upcoming International Chemical Engineering Summit held in Germany Berlin. The focus is on bridging theoretical kinetics with practical industrial application within the stringent regulatory and environmental framework of Germany Berlin.</w:t>
      </w:r>
    </w:p>
    <w:bookmarkEnd w:id="21"/>
    <w:bookmarkStart w:id="22" w:name="introduction-and-context"/>
    <w:p>
      <w:pPr>
        <w:pStyle w:val="Heading2"/>
      </w:pPr>
      <w:r>
        <w:t xml:space="preserve">1. Introduction and Context</w:t>
      </w:r>
    </w:p>
    <w:p>
      <w:pPr>
        <w:pStyle w:val="FirstParagraph"/>
      </w:pPr>
      <w:r>
        <w:t xml:space="preserve">The transition towards a carbon-neutral economy represents one of the most significant challenges for modern industry. As a Chemical Engineer operating within the dynamic hub of</w:t>
      </w:r>
      <w:r>
        <w:t xml:space="preserve"> </w:t>
      </w:r>
      <w:r>
        <w:rPr>
          <w:bCs/>
          <w:b/>
        </w:rPr>
        <w:t xml:space="preserve">Germany Berlin</w:t>
      </w:r>
      <w:r>
        <w:t xml:space="preserve">, it is imperative to address not only the technical feasibility of green technologies but also their economic viability and environmental impact. This poster presentation aims to showcase recent developments in catalytic reforming processes that facilitate efficient hydrogen production from biomass-derived feedstocks. The unique position of</w:t>
      </w:r>
      <w:r>
        <w:t xml:space="preserve"> </w:t>
      </w:r>
      <w:r>
        <w:rPr>
          <w:bCs/>
          <w:b/>
        </w:rPr>
        <w:t xml:space="preserve">Germany Berlin</w:t>
      </w:r>
      <w:r>
        <w:t xml:space="preserve"> </w:t>
      </w:r>
      <w:r>
        <w:t xml:space="preserve">as a center for innovation and policy-making in Europe provides a critical testing ground for these innovations. By situating our research within this specific geographic and industrial context, we can highlight how local infrastructure influences global engineering standards.</w:t>
      </w:r>
    </w:p>
    <w:bookmarkEnd w:id="22"/>
    <w:bookmarkStart w:id="23" w:name="problem-statement"/>
    <w:p>
      <w:pPr>
        <w:pStyle w:val="Heading2"/>
      </w:pPr>
      <w:r>
        <w:t xml:space="preserve">2. Problem Statement</w:t>
      </w:r>
    </w:p>
    <w:p>
      <w:pPr>
        <w:pStyle w:val="FirstParagraph"/>
      </w:pPr>
      <w:r>
        <w:t xml:space="preserve">The current reliance on steam methane reforming (SMR) for hydrogen production contributes significantly to global carbon emissions. While electrolysis offers a clean alternative, it is currently hindered by high energy costs and grid dependency. The role of the Chemical Engineer in this landscape is to optimize intermediate processes that lower the barrier to entry for green hydrogen technologies. In</w:t>
      </w:r>
      <w:r>
        <w:t xml:space="preserve"> </w:t>
      </w:r>
      <w:r>
        <w:rPr>
          <w:bCs/>
          <w:b/>
        </w:rPr>
        <w:t xml:space="preserve">Germany Berlin</w:t>
      </w:r>
      <w:r>
        <w:t xml:space="preserve">, where urban density and industrial legacy coexist, space efficiency and safety are paramount concerns. Therefore, developing compact, modular reaction units that can be integrated into existing industrial parks without extensive civil works is a primary objective of this study.</w:t>
      </w:r>
    </w:p>
    <w:bookmarkEnd w:id="23"/>
    <w:bookmarkStart w:id="24" w:name="Xfb581564e7edf6a0449a5f4429a798b4b2e3354"/>
    <w:p>
      <w:pPr>
        <w:pStyle w:val="Heading2"/>
      </w:pPr>
      <w:r>
        <w:t xml:space="preserve">3. Methodology: The Chemical Engineering Approach</w:t>
      </w:r>
    </w:p>
    <w:p>
      <w:pPr>
        <w:pStyle w:val="FirstParagraph"/>
      </w:pPr>
      <w:r>
        <w:t xml:space="preserve">This poster details a multi-stage experimental approach combining computational fluid dynamics (CFD) with pilot-scale reactor testing. The methodology focuses on three key areas:</w:t>
      </w:r>
    </w:p>
    <w:p>
      <w:pPr>
        <w:numPr>
          <w:ilvl w:val="0"/>
          <w:numId w:val="1001"/>
        </w:numPr>
        <w:pStyle w:val="Compact"/>
      </w:pPr>
      <w:r>
        <w:rPr>
          <w:bCs/>
          <w:b/>
        </w:rPr>
        <w:t xml:space="preserve">Catalyst Design:</w:t>
      </w:r>
      <w:r>
        <w:t xml:space="preserve"> Developing noble-metal-free catalysts using transition metals to reduce cost while maintaining high activity at lower temperatures.</w:t>
      </w:r>
    </w:p>
    <w:p>
      <w:pPr>
        <w:numPr>
          <w:ilvl w:val="0"/>
          <w:numId w:val="1001"/>
        </w:numPr>
        <w:pStyle w:val="Compact"/>
      </w:pPr>
      <w:r>
        <w:rPr>
          <w:bCs/>
          <w:b/>
        </w:rPr>
        <w:t xml:space="preserve">Reactor Optimization:</w:t>
      </w:r>
      <w:r>
        <w:t xml:space="preserve"> Utilizing microchannel reactors to enhance heat transfer efficiency, a critical factor in endothermic reforming reactions. This aligns with the precision engineering standards prevalent in</w:t>
      </w:r>
      <w:r>
        <w:t xml:space="preserve"> </w:t>
      </w:r>
      <w:r>
        <w:rPr>
          <w:bCs/>
          <w:b/>
        </w:rPr>
        <w:t xml:space="preserve">Germany Berlin’s</w:t>
      </w:r>
      <w:r>
        <w:t xml:space="preserve"> manufacturing sector.</w:t>
      </w:r>
    </w:p>
    <w:p>
      <w:pPr>
        <w:numPr>
          <w:ilvl w:val="0"/>
          <w:numId w:val="1001"/>
        </w:numPr>
      </w:pPr>
      <w:r>
        <w:t xml:space="preserve">Lifecycle Analysis (LCA):</w:t>
      </w:r>
      <w:r>
        <w:t xml:space="preserve"> </w:t>
      </w:r>
    </w:p>
    <w:p>
      <w:pPr>
        <w:numPr>
          <w:ilvl w:val="0"/>
          <w:numId w:val="1000"/>
        </w:numPr>
      </w:pPr>
      <w:r>
        <w:t xml:space="preserve">Conducting a cradle-to-gate LCA to assess the environmental footprint. This step is crucial for compliance with the European Green Deal and specific regional regulations enforced in</w:t>
      </w:r>
      <w:r>
        <w:t xml:space="preserve"> </w:t>
      </w:r>
      <w:r>
        <w:rPr>
          <w:bCs/>
          <w:b/>
        </w:rPr>
        <w:t xml:space="preserve">Germany Berlin</w:t>
      </w:r>
      <w:r>
        <w:t xml:space="preserve">.</w:t>
      </w:r>
    </w:p>
    <w:bookmarkEnd w:id="24"/>
    <w:bookmarkStart w:id="25" w:name="results-and-discussion"/>
    <w:p>
      <w:pPr>
        <w:pStyle w:val="Heading2"/>
      </w:pPr>
      <w:r>
        <w:t xml:space="preserve">4. Results and Discussion</w:t>
      </w:r>
    </w:p>
    <w:p>
      <w:pPr>
        <w:pStyle w:val="FirstParagraph"/>
      </w:pPr>
      <w:r>
        <w:t xml:space="preserve">The initial results indicate a 15% increase in hydrogen yield compared to conventional fixed-bed reactors when using the newly developed structured catalyst. The CFD models successfully predicted hot-spot formation, allowing for real-time adjustments in flow rates during the pilot phase. These findings are particularly relevant for Chemical Engineers tasked with retrofitting older facilities in</w:t>
      </w:r>
      <w:r>
        <w:t xml:space="preserve"> </w:t>
      </w:r>
      <w:r>
        <w:rPr>
          <w:bCs/>
          <w:b/>
        </w:rPr>
        <w:t xml:space="preserve">Germany Berlin</w:t>
      </w:r>
      <w:r>
        <w:t xml:space="preserve">. By demonstrating that modern catalytic strategies can be applied to legacy infrastructure, we propose a pathway for gradual decarbonization without requiring total facility replacement.</w:t>
      </w:r>
    </w:p>
    <w:p>
      <w:pPr>
        <w:pStyle w:val="BodyText"/>
      </w:pPr>
      <w:r>
        <w:t xml:space="preserve">Furthermore, the economic analysis reveals that while capital expenditure (CapEx) is higher due to advanced materials, operational expenditure (OpEx) drops significantly over a ten-year period due to reduced energy consumption and extended catalyst life. This long-term view is essential for stakeholders in</w:t>
      </w:r>
      <w:r>
        <w:t xml:space="preserve"> </w:t>
      </w:r>
      <w:r>
        <w:rPr>
          <w:bCs/>
          <w:b/>
        </w:rPr>
        <w:t xml:space="preserve">Germany Berlin</w:t>
      </w:r>
      <w:r>
        <w:t xml:space="preserve"> who are balancing immediate budget constraints with future sustainability goals.</w:t>
      </w:r>
    </w:p>
    <w:bookmarkEnd w:id="25"/>
    <w:bookmarkStart w:id="26" w:name="X502b16d34952366aa67cc92d3720fef98d9756e"/>
    <w:p>
      <w:pPr>
        <w:pStyle w:val="Heading2"/>
      </w:pPr>
      <w:r>
        <w:t xml:space="preserve">5. Implications for the Chemical Engineering Field</w:t>
      </w:r>
    </w:p>
    <w:p>
      <w:pPr>
        <w:pStyle w:val="FirstParagraph"/>
      </w:pPr>
      <w:r>
        <w:t xml:space="preserve">This presentation underscores the evolving role of the Chemical Engineer from a mere process designer to a holistic system integrator. In</w:t>
      </w:r>
      <w:r>
        <w:t xml:space="preserve"> </w:t>
      </w:r>
      <w:r>
        <w:rPr>
          <w:bCs/>
          <w:b/>
        </w:rPr>
        <w:t xml:space="preserve">Germany Berlin</w:t>
      </w:r>
      <w:r>
        <w:t xml:space="preserve">, where interdisciplinary collaboration is encouraged, engineers must work closely with data scientists, policy makers, and environmental specialists. The poster highlights several key takeaways:</w:t>
      </w:r>
    </w:p>
    <w:p>
      <w:pPr>
        <w:numPr>
          <w:ilvl w:val="0"/>
          <w:numId w:val="1002"/>
        </w:numPr>
        <w:pStyle w:val="Compact"/>
      </w:pPr>
      <w:r>
        <w:t xml:space="preserve">Modularity:</w:t>
      </w:r>
      <w:r>
        <w:t xml:space="preserve"> The importance of designing flexible systems that can adapt to fluctuating feedstock qualities.</w:t>
      </w:r>
    </w:p>
    <w:p>
      <w:pPr>
        <w:numPr>
          <w:ilvl w:val="0"/>
          <w:numId w:val="1002"/>
        </w:numPr>
        <w:pStyle w:val="Compact"/>
      </w:pPr>
      <w:r>
        <w:t xml:space="preserve">Digital Twin Technology:</w:t>
      </w:r>
      <w:r>
        <w:t xml:space="preserve"> The use of digital twins for real-time monitoring and predictive maintenance, a standard increasingly adopted in</w:t>
      </w:r>
      <w:r>
        <w:t xml:space="preserve"> </w:t>
      </w:r>
      <w:r>
        <w:rPr>
          <w:bCs/>
          <w:b/>
        </w:rPr>
        <w:t xml:space="preserve">Germany Berlin’s</w:t>
      </w:r>
      <w:r>
        <w:t xml:space="preserve"> industrial sector.</w:t>
      </w:r>
    </w:p>
    <w:p>
      <w:pPr>
        <w:numPr>
          <w:ilvl w:val="0"/>
          <w:numId w:val="1002"/>
        </w:numPr>
        <w:pStyle w:val="Compact"/>
      </w:pPr>
      <w:r>
        <w:t xml:space="preserve">Regulatory Compliance:</w:t>
      </w:r>
      <w:r>
        <w:t xml:space="preserve"> Navigating the complex web of EU and local regulations in</w:t>
      </w:r>
      <w:r>
        <w:t xml:space="preserve"> </w:t>
      </w:r>
      <w:r>
        <w:rPr>
          <w:bCs/>
          <w:b/>
        </w:rPr>
        <w:t xml:space="preserve">Germany Berlin</w:t>
      </w:r>
      <w:r>
        <w:t xml:space="preserve"> to ensure smooth project implementation.</w:t>
      </w:r>
    </w:p>
    <w:bookmarkEnd w:id="26"/>
    <w:bookmarkStart w:id="27" w:name="X57fcb9c14e2c67cf2c611ebb09032caecc10c8f"/>
    <w:p>
      <w:pPr>
        <w:pStyle w:val="Heading2"/>
      </w:pPr>
      <w:r>
        <w:t xml:space="preserve">6. Case Study: Implementation in Germany Berlin</w:t>
      </w:r>
    </w:p>
    <w:p>
      <w:pPr>
        <w:pStyle w:val="FirstParagraph"/>
      </w:pPr>
      <w:r>
        <w:t xml:space="preserve">To illustrate practical application, we present a case study involving a collaboration with a local energy provider in</w:t>
      </w:r>
      <w:r>
        <w:t xml:space="preserve"> </w:t>
      </w:r>
      <w:r>
        <w:rPr>
          <w:bCs/>
          <w:b/>
        </w:rPr>
        <w:t xml:space="preserve">Germany Berlin</w:t>
      </w:r>
      <w:r>
        <w:t xml:space="preserve">. The pilot unit was installed at an existing wastewater treatment plant, utilizing biogas as the feedstock. This location was chosen for its symbolic value and logistical advantages within</w:t>
      </w:r>
      <w:r>
        <w:t xml:space="preserve"> </w:t>
      </w:r>
      <w:r>
        <w:rPr>
          <w:bCs/>
          <w:b/>
        </w:rPr>
        <w:t xml:space="preserve">Germany Berlin</w:t>
      </w:r>
      <w:r>
        <w:t xml:space="preserve">. The project demonstrated that chemical engineering solutions can directly contribute to urban sustainability targets. Feedback from local authorities in</w:t>
      </w:r>
      <w:r>
        <w:t xml:space="preserve"> </w:t>
      </w:r>
      <w:r>
        <w:rPr>
          <w:bCs/>
          <w:b/>
        </w:rPr>
        <w:t xml:space="preserve">Germany Berlin</w:t>
      </w:r>
      <w:r>
        <w:t xml:space="preserve"> was overwhelmingly positive, citing the project as a model for future public-private partnerships.</w:t>
      </w:r>
    </w:p>
    <w:bookmarkEnd w:id="27"/>
    <w:bookmarkStart w:id="28" w:name="conclusion-and-future-work"/>
    <w:p>
      <w:pPr>
        <w:pStyle w:val="Heading2"/>
      </w:pPr>
      <w:r>
        <w:t xml:space="preserve">7. Conclusion and Future Work</w:t>
      </w:r>
    </w:p>
    <w:p>
      <w:pPr>
        <w:pStyle w:val="FirstParagraph"/>
      </w:pPr>
      <w:r>
        <w:t xml:space="preserve">In conclusion, this poster presentation emphasizes the critical contribution of Chemical Engineers to the green transition. By focusing on catalytic efficiency and modular design, we can overcome existing barriers to hydrogen adoption. The context of</w:t>
      </w:r>
      <w:r>
        <w:t xml:space="preserve"> </w:t>
      </w:r>
      <w:r>
        <w:rPr>
          <w:bCs/>
          <w:b/>
        </w:rPr>
        <w:t xml:space="preserve">Germany Berlin</w:t>
      </w:r>
      <w:r>
        <w:t xml:space="preserve"> provides a unique laboratory for these innovations, offering both challenges and opportunities. Future work will focus on scaling up the technology and expanding the feedstock diversity. We aim to engage with other Chemical Engineers from across Europe to share best practices and standardize methodologies in</w:t>
      </w:r>
      <w:r>
        <w:t xml:space="preserve"> </w:t>
      </w:r>
      <w:r>
        <w:rPr>
          <w:bCs/>
          <w:b/>
        </w:rPr>
        <w:t xml:space="preserve">Germany Berlin</w:t>
      </w:r>
      <w:r>
        <w:t xml:space="preserve"> and beyond.</w:t>
      </w:r>
    </w:p>
    <w:bookmarkEnd w:id="28"/>
    <w:bookmarkStart w:id="29" w:name="call-for-collaboration"/>
    <w:p>
      <w:pPr>
        <w:pStyle w:val="Heading2"/>
      </w:pPr>
      <w:r>
        <w:t xml:space="preserve">8. Call for Collaboration</w:t>
      </w:r>
    </w:p>
    <w:p>
      <w:pPr>
        <w:pStyle w:val="FirstParagraph"/>
      </w:pPr>
      <w:r>
        <w:t xml:space="preserve">We invite fellow researchers, industrial partners, and policy makers in</w:t>
      </w:r>
      <w:r>
        <w:t xml:space="preserve"> </w:t>
      </w:r>
      <w:r>
        <w:rPr>
          <w:bCs/>
          <w:b/>
        </w:rPr>
        <w:t xml:space="preserve">Germany Berlin</w:t>
      </w:r>
      <w:r>
        <w:t xml:space="preserve"> to discuss these findings further. The poster will be available during the designated Q&amp;A session, where we welcome questions on catalyst stability, reactor design specifics, and regulatory frameworks in</w:t>
      </w:r>
      <w:r>
        <w:t xml:space="preserve"> </w:t>
      </w:r>
      <w:r>
        <w:rPr>
          <w:bCs/>
          <w:b/>
        </w:rPr>
        <w:t xml:space="preserve">Germany Berlin</w:t>
      </w:r>
      <w:r>
        <w:t xml:space="preserve">. Let us collaborate to shape a sustainable chemical engineering future.</w:t>
      </w:r>
    </w:p>
    <w:p>
      <w:pPr>
        <w:pStyle w:val="BodyText"/>
      </w:pPr>
      <w:r>
        <w:t xml:space="preserve">© 2023 AceChem Conference. All rights reserved. This document is intended for academic and professional use within the Chemical Engineering community in Germany Berlin.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AceChem Conference: Poster Presentation</dc:title>
  <dc:creator/>
  <dc:language>en</dc:language>
  <cp:keywords/>
  <dcterms:created xsi:type="dcterms:W3CDTF">2026-07-29T08:53:19Z</dcterms:created>
  <dcterms:modified xsi:type="dcterms:W3CDTF">2026-07-29T08:53:19Z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