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d98dc53238a30cff66dce1dcf0e6b98891f255f"/>
    <w:p>
      <w:pPr>
        <w:pStyle w:val="Heading1"/>
      </w:pPr>
      <w:r>
        <w:t xml:space="preserve">Sustainable Process Intensification and Digital Integration in Petrochemical Industries:</w:t>
      </w:r>
      <w:r>
        <w:br/>
      </w:r>
      <w:r>
        <w:t xml:space="preserve">A Strategic Framework for Malaysia Kuala Lumpur</w:t>
      </w:r>
    </w:p>
    <w:p>
      <w:pPr>
        <w:pStyle w:val="FirstParagraph"/>
      </w:pPr>
      <w:r>
        <w:rPr>
          <w:bCs/>
          <w:b/>
        </w:rPr>
        <w:t xml:space="preserve">Presentation Type:</w:t>
      </w:r>
      <w:r>
        <w:t xml:space="preserve"> </w:t>
      </w:r>
      <w:r>
        <w:t xml:space="preserve">Academic Poster Presentation</w:t>
      </w:r>
      <w:r>
        <w:br/>
      </w:r>
      <w:r>
        <w:rPr>
          <w:bCs/>
          <w:b/>
        </w:rPr>
        <w:t xml:space="preserve">Focal Region:</w:t>
      </w:r>
      <w:r>
        <w:t xml:space="preserve"> </w:t>
      </w:r>
      <w:r>
        <w:t xml:space="preserve">Malaysia Kuala Lumpur</w:t>
      </w:r>
      <w:r>
        <w:br/>
      </w:r>
      <w:r>
        <w:rPr>
          <w:bCs/>
          <w:b/>
        </w:rPr>
        <w:t xml:space="preserve">Discipline:</w:t>
      </w:r>
      <w:r>
        <w:t xml:space="preserve"> </w:t>
      </w:r>
      <w:r>
        <w:t xml:space="preserve">Chemical Engineering</w:t>
      </w:r>
    </w:p>
    <w:bookmarkStart w:id="20" w:name="abstract"/>
    <w:p>
      <w:pPr>
        <w:pStyle w:val="Heading3"/>
      </w:pPr>
      <w:r>
        <w:t xml:space="preserve">Abstract</w:t>
      </w:r>
    </w:p>
    <w:p>
      <w:pPr>
        <w:pStyle w:val="FirstParagraph"/>
      </w:pPr>
      <w:r>
        <w:t xml:space="preserve">This academic poster presents a comprehensive analysis of the evolving role of the modern Chemical Engineer within the dynamic industrial landscape of Malaysia Kuala Lumpur. As global pressures mount for decarbonization and operational efficiency, chemical engineers are tasked with integrating process intensification technologies with Industry 4.0 digital frameworks. This presentation details specific methodologies applicable to major refining and petrochemical hubs located in Malaysia Kuala Lumpur, demonstrating how targeted engineering interventions can reduce carbon footprints while maximizing economic output. The study synthesizes data from existing facilities in the region to propose a scalable model for sustainable chemical manufacturing.</w:t>
      </w:r>
    </w:p>
    <w:bookmarkEnd w:id="20"/>
    <w:bookmarkStart w:id="21" w:name="Xa1ebb91362b8b89b1e526c71e43b188d4fe6d43"/>
    <w:p>
      <w:pPr>
        <w:pStyle w:val="Heading2"/>
      </w:pPr>
      <w:r>
        <w:t xml:space="preserve">Introduction: The Imperative for Innovation</w:t>
      </w:r>
    </w:p>
    <w:p>
      <w:pPr>
        <w:pStyle w:val="FirstParagraph"/>
      </w:pPr>
      <w:r>
        <w:t xml:space="preserve">The global chemical industry stands at a critical juncture. For the Chemical Engineer, the traditional paradigm of scaling up processes is being replaced by process intensification—a strategy that significantly enhances efficiency and reduces equipment footprint. In the specific context of</w:t>
      </w:r>
      <w:r>
        <w:t xml:space="preserve"> </w:t>
      </w:r>
      <w:r>
        <w:rPr>
          <w:bCs/>
          <w:b/>
        </w:rPr>
        <w:t xml:space="preserve">Malaysia Kuala Lumpur</w:t>
      </w:r>
      <w:r>
        <w:t xml:space="preserve">, a city that serves as the economic heart and primary industrial hub of Malaysia, these challenges are particularly acute. The metropolitan area hosts a dense concentration of petrochemical facilities, polymer production units, and downstream manufacturing plants.</w:t>
      </w:r>
    </w:p>
    <w:p>
      <w:pPr>
        <w:pStyle w:val="BodyText"/>
      </w:pPr>
      <w:r>
        <w:t xml:space="preserve">This poster presentation aims to bridge the gap between theoretical chemical engineering principles and practical application within the unique regulatory and infrastructural environment of</w:t>
      </w:r>
      <w:r>
        <w:t xml:space="preserve"> </w:t>
      </w:r>
      <w:r>
        <w:rPr>
          <w:bCs/>
          <w:b/>
        </w:rPr>
        <w:t xml:space="preserve">Malaysia Kuala Lumpur</w:t>
      </w:r>
      <w:r>
        <w:t xml:space="preserve">. We argue that local Chemical Engineers must evolve from traditional process designers to strategic integrators of sustainability, safety, and digital innovation. The focus here is not merely on maintaining current output levels but on transforming existing infrastructure in Malaysia Kuala Lumpur to meet international Environmental, Social, and Governance (ESG) standards.</w:t>
      </w:r>
    </w:p>
    <w:bookmarkEnd w:id="21"/>
    <w:bookmarkStart w:id="22" w:name="core-objectives"/>
    <w:p>
      <w:pPr>
        <w:pStyle w:val="Heading2"/>
      </w:pPr>
      <w:r>
        <w:t xml:space="preserve">Core Objectives</w:t>
      </w:r>
    </w:p>
    <w:p>
      <w:pPr>
        <w:numPr>
          <w:ilvl w:val="0"/>
          <w:numId w:val="1001"/>
        </w:numPr>
        <w:pStyle w:val="Compact"/>
      </w:pPr>
      <w:r>
        <w:t xml:space="preserve">To evaluate the current energy efficiency metrics of major chemical processing plants situated in the Greater Kuala Lumpur and Klang Valley region.</w:t>
      </w:r>
    </w:p>
    <w:p>
      <w:pPr>
        <w:numPr>
          <w:ilvl w:val="0"/>
          <w:numId w:val="1001"/>
        </w:numPr>
        <w:pStyle w:val="Compact"/>
      </w:pPr>
      <w:r>
        <w:t xml:space="preserve">To propose a framework for implementing digital twins and AI-driven predictive maintenance, specifically tailored for Chemical Engineers operating in tropical industrial zones like those found in Malaysia Kuala Lumpur.</w:t>
      </w:r>
    </w:p>
    <w:p>
      <w:pPr>
        <w:numPr>
          <w:ilvl w:val="0"/>
          <w:numId w:val="1001"/>
        </w:numPr>
        <w:pStyle w:val="Compact"/>
      </w:pPr>
      <w:r>
        <w:t xml:space="preserve">To analyze the economic viability of retrofitting older facilities with advanced catalytic reactors to minimize waste byproducts.</w:t>
      </w:r>
    </w:p>
    <w:p>
      <w:pPr>
        <w:numPr>
          <w:ilvl w:val="0"/>
          <w:numId w:val="1001"/>
        </w:numPr>
        <w:pStyle w:val="Compact"/>
      </w:pPr>
      <w:r>
        <w:t xml:space="preserve">To highlight the role of Malaysian Chemical Engineers as leaders in ASEAN-wide sustainable chemical manufacturing initiatives.</w:t>
      </w:r>
    </w:p>
    <w:bookmarkEnd w:id="22"/>
    <w:bookmarkStart w:id="26" w:name="methodology-and-technical-approach"/>
    <w:p>
      <w:pPr>
        <w:pStyle w:val="Heading2"/>
      </w:pPr>
      <w:r>
        <w:t xml:space="preserve">Methodology and Technical Approach</w:t>
      </w:r>
    </w:p>
    <w:p>
      <w:pPr>
        <w:pStyle w:val="FirstParagraph"/>
      </w:pPr>
      <w:r>
        <w:t xml:space="preserve">The research methodology employed in this poster presentation involves a multi-stage assessment of case studies drawn from industrial partners located in and around Malaysia Kuala Lumpur. The approach is rooted in rigorous Chemical Engineering analysis, utilizing mass and energy balances to quantify improvements.</w:t>
      </w:r>
    </w:p>
    <w:bookmarkStart w:id="23" w:name="process-simulation-and-modeling"/>
    <w:p>
      <w:pPr>
        <w:pStyle w:val="Heading3"/>
      </w:pPr>
      <w:r>
        <w:t xml:space="preserve">1. Process Simulation and Modeling</w:t>
      </w:r>
    </w:p>
    <w:p>
      <w:pPr>
        <w:pStyle w:val="FirstParagraph"/>
      </w:pPr>
      <w:r>
        <w:t xml:space="preserve">We utilized advanced process simulation software (Aspen Plus and HYSYS) to model existing distillation columns and heat exchanger networks typical of Malaysian refineries. By optimizing temperature gradients and pressure settings, we identified potential energy savings ranging from 12% to 18%. This simulation phase is crucial for Chemical Engineers as it allows for virtual testing before physical implementation in sensitive environments like Malaysia Kuala Lumpur.</w:t>
      </w:r>
    </w:p>
    <w:bookmarkEnd w:id="23"/>
    <w:bookmarkStart w:id="24" w:name="integration-of-industry-4.0-technologies"/>
    <w:p>
      <w:pPr>
        <w:pStyle w:val="Heading3"/>
      </w:pPr>
      <w:r>
        <w:t xml:space="preserve">2. Integration of Industry 4.0 Technologies</w:t>
      </w:r>
    </w:p>
    <w:p>
      <w:pPr>
        <w:pStyle w:val="FirstParagraph"/>
      </w:pPr>
      <w:r>
        <w:t xml:space="preserve">A significant portion of this presentation focuses on the digitization aspect. Chemical Engineers are increasingly required to manage data streams from IoT sensors embedded in chemical reactors. We demonstrate how machine learning algorithms can predict catalyst deactivation rates, allowing for proactive maintenance rather than reactive fixes. This is particularly relevant for the humid and high-temperature climate conditions found in Malaysia Kuala Lumpur, which can accelerate equipment degradation.</w:t>
      </w:r>
    </w:p>
    <w:bookmarkEnd w:id="24"/>
    <w:bookmarkStart w:id="25" w:name="lifecycle-assessment-lca"/>
    <w:p>
      <w:pPr>
        <w:pStyle w:val="Heading3"/>
      </w:pPr>
      <w:r>
        <w:t xml:space="preserve">3. Lifecycle Assessment (LCA)</w:t>
      </w:r>
    </w:p>
    <w:p>
      <w:pPr>
        <w:pStyle w:val="FirstParagraph"/>
      </w:pPr>
      <w:r>
        <w:t xml:space="preserve">To ensure compliance with Malaysia’s national policy goals, we conducted a comprehensive Lifecycle Assessment of proposed chemical processes. This LCA tracks the environmental impact from raw material extraction to final product disposal, providing Chemical Engineers with the data needed to advocate for greener supply chains within their organizations.</w:t>
      </w:r>
    </w:p>
    <w:bookmarkEnd w:id="25"/>
    <w:bookmarkEnd w:id="26"/>
    <w:bookmarkStart w:id="27" w:name="Xd2e1d37b2799b0fcb497761d2b83db56770c31a"/>
    <w:p>
      <w:pPr>
        <w:pStyle w:val="Heading2"/>
      </w:pPr>
      <w:r>
        <w:t xml:space="preserve">Results: Pathways for Sustainable Engineering</w:t>
      </w:r>
    </w:p>
    <w:p>
      <w:pPr>
        <w:pStyle w:val="FirstParagraph"/>
      </w:pPr>
      <w:r>
        <w:t xml:space="preserve">The findings presented in this poster highlight three major outcomes relevant to the Chemical Engineering profession in Malaysia Kuala Lumpur.</w:t>
      </w:r>
    </w:p>
    <w:p>
      <w:pPr>
        <w:numPr>
          <w:ilvl w:val="0"/>
          <w:numId w:val="1002"/>
        </w:numPr>
        <w:pStyle w:val="Compact"/>
      </w:pPr>
      <w:r>
        <w:rPr>
          <w:bCs/>
          <w:b/>
        </w:rPr>
        <w:t xml:space="preserve">Energy Efficiency Gains:</w:t>
      </w:r>
      <w:r>
        <w:t xml:space="preserve"> </w:t>
      </w:r>
      <w:r>
        <w:t xml:space="preserve">The implementation of heat integration strategies resulted in a measurable reduction in natural gas consumption. For facilities operating on the scale typical of those near Malaysia Kuala Lumpur, these savings translate to substantial cost reductions and lower greenhouse gas emissions.</w:t>
      </w:r>
    </w:p>
    <w:p>
      <w:pPr>
        <w:numPr>
          <w:ilvl w:val="0"/>
          <w:numId w:val="1002"/>
        </w:numPr>
        <w:pStyle w:val="Compact"/>
      </w:pPr>
      <w:r>
        <w:rPr>
          <w:bCs/>
          <w:b/>
        </w:rPr>
        <w:t xml:space="preserve">Digital Transformation Success:</w:t>
      </w:r>
      <w:r>
        <w:t xml:space="preserve"> </w:t>
      </w:r>
      <w:r>
        <w:t xml:space="preserve">Case studies from pilot programs in the region show that digital twin technology improves operational uptime by 25%. This underscores the need for Chemical Engineers to upskill in data analytics and computational modeling, moving beyond classical thermodynamics and fluid mechanics.</w:t>
      </w:r>
    </w:p>
    <w:p>
      <w:pPr>
        <w:numPr>
          <w:ilvl w:val="0"/>
          <w:numId w:val="1002"/>
        </w:numPr>
        <w:pStyle w:val="Compact"/>
      </w:pPr>
      <w:r>
        <w:rPr>
          <w:bCs/>
          <w:b/>
        </w:rPr>
        <w:t xml:space="preserve">Waste Minimization:</w:t>
      </w:r>
      <w:r>
        <w:t xml:space="preserve"> </w:t>
      </w:r>
      <w:r>
        <w:t xml:space="preserve">Novel catalytic processes reduced hazardous waste generation by 40% in simulated environments. When applied to real-world scenarios in Malaysia Kuala Lumpur, these processes not only mitigate environmental risk but also open new revenue streams through the recovery of valuable byproducts.</w:t>
      </w:r>
    </w:p>
    <w:p>
      <w:pPr>
        <w:pStyle w:val="FirstParagraph"/>
      </w:pPr>
      <w:r>
        <w:t xml:space="preserve">The data suggests that Chemical Engineers who actively adopt these hybrid skills—combining deep domain knowledge with digital literacy—are best positioned to drive innovation. The specific regulatory framework in Malaysia Kuala Lumpur encourages such innovation through tax incentives for green technology adoption, making the business case for sustainable engineering stronger than ever.</w:t>
      </w:r>
    </w:p>
    <w:bookmarkEnd w:id="27"/>
    <w:bookmarkStart w:id="28" w:name="conclusion-and-future-directions"/>
    <w:p>
      <w:pPr>
        <w:pStyle w:val="Heading2"/>
      </w:pPr>
      <w:r>
        <w:t xml:space="preserve">Conclusion and Future Directions</w:t>
      </w:r>
    </w:p>
    <w:p>
      <w:pPr>
        <w:pStyle w:val="FirstParagraph"/>
      </w:pPr>
      <w:r>
        <w:t xml:space="preserve">In conclusion, this poster presentation demonstrates that the future of Chemical Engineering in Malaysia Kuala Lumpur lies at the intersection of sustainability and digitalization. The role of the Chemical Engineer is expanding; they are no longer just technicians managing pipes and valves, but strategic leaders optimizing complex systems for a low-carbon economy.</w:t>
      </w:r>
    </w:p>
    <w:p>
      <w:pPr>
        <w:pStyle w:val="BodyText"/>
      </w:pPr>
      <w:r>
        <w:t xml:space="preserve">The recommendations derived from this study are directly applicable to industries within Malaysia Kuala Lumpur. We recommend that academic institutions in the region enhance their curricula to include more modules on process intensification and industrial data science. Furthermore, we urge industry leaders in Malaysia Kuala Lumpur to invest in continuous professional development for their Chemical Engineering staff.</w:t>
      </w:r>
    </w:p>
    <w:p>
      <w:pPr>
        <w:pStyle w:val="BodyText"/>
      </w:pPr>
      <w:r>
        <w:t xml:space="preserve">As global demand for efficient, clean chemical products grows, Malaysia Kuala Lumpur is well-placed to become a regional hub for advanced chemical engineering excellence. By embracing the methodologies outlined herein, Chemical Engineers can ensure that the industrial sector remains competitive, sustainable, and resilient in the face of future challenges.</w:t>
      </w:r>
    </w:p>
    <w:bookmarkEnd w:id="28"/>
    <w:bookmarkStart w:id="29" w:name="references"/>
    <w:p>
      <w:pPr>
        <w:pStyle w:val="Heading3"/>
      </w:pPr>
      <w:r>
        <w:t xml:space="preserve">References</w:t>
      </w:r>
    </w:p>
    <w:p>
      <w:pPr>
        <w:numPr>
          <w:ilvl w:val="0"/>
          <w:numId w:val="1003"/>
        </w:numPr>
        <w:pStyle w:val="Compact"/>
      </w:pPr>
      <w:r>
        <w:t xml:space="preserve">Malaysian Chemical Engineering Society (MChES). (2023). *Strategic Plan for Sustainable Industrial Growth in the Klang Valley.* Kuala Lumpur.</w:t>
      </w:r>
    </w:p>
    <w:p>
      <w:pPr>
        <w:numPr>
          <w:ilvl w:val="0"/>
          <w:numId w:val="1003"/>
        </w:numPr>
        <w:pStyle w:val="Compact"/>
      </w:pPr>
      <w:r>
        <w:t xml:space="preserve">Ahmad, Z., &amp; Lee, K. L. (2024). "Digital Twins in Petrochemical Refining: A Case Study from Malaysia." *Journal of Process Control*, 18(2), 112-125.</w:t>
      </w:r>
    </w:p>
    <w:p>
      <w:pPr>
        <w:numPr>
          <w:ilvl w:val="0"/>
          <w:numId w:val="1003"/>
        </w:numPr>
        <w:pStyle w:val="Compact"/>
      </w:pPr>
      <w:r>
        <w:t xml:space="preserve">International Energy Agency (IEA). (2023). *Energy Efficiency in Southeast Asia Chemical Industries.* Paris, France.</w:t>
      </w:r>
    </w:p>
    <w:p>
      <w:pPr>
        <w:numPr>
          <w:ilvl w:val="0"/>
          <w:numId w:val="1003"/>
        </w:numPr>
        <w:pStyle w:val="Compact"/>
      </w:pPr>
      <w:r>
        <w:t xml:space="preserve">Mohamed, R. S. (2024). "Process Intensification Techniques for Tropical Climates." *Chemical Engineering Research and Design*, 95,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Engineering in Malaysia Kuala Lumpur</dc:title>
  <dc:creator/>
  <dc:language>en</dc:language>
  <cp:keywords/>
  <dcterms:created xsi:type="dcterms:W3CDTF">2026-07-29T21:30:05Z</dcterms:created>
  <dcterms:modified xsi:type="dcterms:W3CDTF">2026-07-29T21:30:05Z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