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Ankara</w:t>
      </w:r>
      <w:r>
        <w:t xml:space="preserve"> </w:t>
      </w:r>
      <w:r>
        <w:t xml:space="preserve">Innovation</w:t>
      </w:r>
      <w:r>
        <w:t xml:space="preserve"> </w:t>
      </w:r>
      <w:r>
        <w:t xml:space="preserve">Hub</w:t>
      </w:r>
    </w:p>
    <w:bookmarkStart w:id="20" w:name="X76fe8ce48ce28ed7cdb478fbdb33840833c7f54"/>
    <w:p>
      <w:pPr>
        <w:pStyle w:val="Heading1"/>
      </w:pPr>
      <w:r>
        <w:t xml:space="preserve">Sustainable Process Intensification in Petrochemical Systems</w:t>
      </w:r>
    </w:p>
    <w:p>
      <w:pPr>
        <w:pStyle w:val="FirstParagraph"/>
      </w:pPr>
      <w:r>
        <w:t xml:space="preserve">Presented at the International Symposium on Chemical Engineering | Ankara, Turkey</w:t>
      </w:r>
      <w:r>
        <w:br/>
      </w:r>
      <w:r>
        <w:rPr>
          <w:bCs/>
          <w:b/>
        </w:rPr>
        <w:t xml:space="preserve">Afiliate:</w:t>
      </w:r>
      <w:r>
        <w:t xml:space="preserve">Ankara University Faculty of Engineering | Department of Chemical Engineering</w:t>
      </w:r>
    </w:p>
    <w:bookmarkEnd w:id="20"/>
    <w:bookmarkStart w:id="23" w:name="introduction-background"/>
    <w:p>
      <w:pPr>
        <w:pStyle w:val="Heading2"/>
      </w:pPr>
      <w:r>
        <w:t xml:space="preserve">Introduction &amp; Background</w:t>
      </w:r>
    </w:p>
    <w:p>
      <w:pPr>
        <w:pStyle w:val="FirstParagraph"/>
      </w:pPr>
      <w:r>
        <w:t xml:space="preserve">The global transition toward sustainable energy sources necessitates a paradigm shift in how chemical engineers design and operate industrial processes. As the heart of Turkey's industrial strategy, Ankara has emerged not just as a political capital but as a burgeoning hub for technological innovation and scientific research. This poster presentation academic document outlines recent findings regarding process intensification (PI) techniques specifically adapted for the unique geographical and regulatory landscape of Turkey.</w:t>
      </w:r>
    </w:p>
    <w:p>
      <w:pPr>
        <w:pStyle w:val="BodyText"/>
      </w:pPr>
      <w:r>
        <w:rPr>
          <w:bCs/>
          <w:b/>
        </w:rPr>
        <w:t xml:space="preserve">The Role of the Chemical Engineer:</w:t>
      </w:r>
      <w:r>
        <w:t xml:space="preserve"> </w:t>
      </w:r>
      <w:r>
        <w:t xml:space="preserve">Modern chemical engineers are no longer confined to traditional unit operations. Today, they serve as critical architects of efficiency, bridging the gap between theoretical thermodynamics and practical industrial application. In Ankara, this role is pivotal in supporting local industries such as textiles, automotive manufacturing (particularly around the Ostim Industrial Zone), and emerging green energy sectors.</w:t>
      </w:r>
    </w:p>
    <w:bookmarkStart w:id="21" w:name="research-objectives"/>
    <w:p>
      <w:pPr>
        <w:pStyle w:val="Heading3"/>
      </w:pPr>
      <w:r>
        <w:t xml:space="preserve">Research Objectives</w:t>
      </w:r>
    </w:p>
    <w:p>
      <w:pPr>
        <w:numPr>
          <w:ilvl w:val="0"/>
          <w:numId w:val="1001"/>
        </w:numPr>
        <w:pStyle w:val="Compact"/>
      </w:pPr>
      <w:r>
        <w:t xml:space="preserve">To evaluate the efficiency gains of micro-reactor technologies compared to traditional batch processing.</w:t>
      </w:r>
    </w:p>
    <w:p>
      <w:pPr>
        <w:numPr>
          <w:ilvl w:val="0"/>
          <w:numId w:val="1001"/>
        </w:numPr>
        <w:pStyle w:val="Compact"/>
      </w:pPr>
      <w:r>
        <w:t xml:space="preserve">To assess economic viability for Small and Medium Enterprises (SMEs) in Ankara's industrial zones.</w:t>
      </w:r>
    </w:p>
    <w:p>
      <w:pPr>
        <w:numPr>
          <w:ilvl w:val="0"/>
          <w:numId w:val="1001"/>
        </w:numPr>
        <w:pStyle w:val="Compact"/>
      </w:pPr>
      <w:r>
        <w:t xml:space="preserve">To propose a framework for reducing carbon footprints within Turkish petrochemical supply chains.</w:t>
      </w:r>
    </w:p>
    <w:bookmarkEnd w:id="21"/>
    <w:bookmarkStart w:id="22" w:name="why-turkey"/>
    <w:p>
      <w:pPr>
        <w:pStyle w:val="Heading3"/>
      </w:pPr>
      <w:r>
        <w:t xml:space="preserve">Why Turkey?</w:t>
      </w:r>
    </w:p>
    <w:p>
      <w:pPr>
        <w:pStyle w:val="FirstParagraph"/>
      </w:pPr>
      <w:r>
        <w:t xml:space="preserve">Turkey stands at the crossroads of Europe and Asia, making it a vital logistical node. However, this position also brings challenges regarding energy security and environmental compliance with EU standards. The chemical engineering community in Ankara is uniquely positioned to lead innovations that satisfy both local industrial needs and international regulatory demands.</w:t>
      </w:r>
    </w:p>
    <w:bookmarkEnd w:id="22"/>
    <w:bookmarkEnd w:id="23"/>
    <w:bookmarkStart w:id="27" w:name="methodology"/>
    <w:p>
      <w:pPr>
        <w:pStyle w:val="Heading2"/>
      </w:pPr>
      <w:r>
        <w:t xml:space="preserve">Methodology</w:t>
      </w:r>
    </w:p>
    <w:p>
      <w:pPr>
        <w:pStyle w:val="FirstParagraph"/>
      </w:pPr>
      <w:r>
        <w:t xml:space="preserve">This study utilizes a multi-phase approach involving computational fluid dynamics (CFD) modeling, pilot-scale experimental validation, and techno-economic analysis. All simulations were conducted using advanced software suites optimized for high-performance computing available at the research centers in Ankara.</w:t>
      </w:r>
    </w:p>
    <w:bookmarkStart w:id="24" w:name="experimental-setup"/>
    <w:p>
      <w:pPr>
        <w:pStyle w:val="Heading3"/>
      </w:pPr>
      <w:r>
        <w:t xml:space="preserve">Experimental Setup</w:t>
      </w:r>
    </w:p>
    <w:p>
      <w:pPr>
        <w:pStyle w:val="FirstParagraph"/>
      </w:pPr>
      <w:r>
        <w:t xml:space="preserve">We utilized a continuous flow micro-reactor system capable of handling high-viscosity non-Newtonian fluids, common in the bio-processing sector relevant to Turkey's agricultural output. The reactor was tested under varying temperatures (200°C–450°C) and pressures (1–5 MPa) to simulate industrial conditions.</w:t>
      </w:r>
    </w:p>
    <w:bookmarkEnd w:id="24"/>
    <w:bookmarkStart w:id="25" w:name="data-acquisition"/>
    <w:p>
      <w:pPr>
        <w:pStyle w:val="Heading3"/>
      </w:pPr>
      <w:r>
        <w:t xml:space="preserve">Data Acquisition</w:t>
      </w:r>
    </w:p>
    <w:p>
      <w:pPr>
        <w:pStyle w:val="FirstParagraph"/>
      </w:pPr>
      <w:r>
        <w:t xml:space="preserve">Data points were collected every 10 seconds using inline spectroscopy. Key performance indicators included conversion rate, selectivity, energy consumption per unit of product, and reactor residence time distribution.</w:t>
      </w:r>
    </w:p>
    <w:p>
      <w:pPr>
        <w:pStyle w:val="BodyText"/>
      </w:pPr>
      <w:r>
        <w:rPr>
          <w:bCs/>
          <w:b/>
        </w:rPr>
        <w:t xml:space="preserve">[Figure 1 Placeholder]</w:t>
      </w:r>
      <w:r>
        <w:br/>
      </w:r>
      <w:r>
        <w:t xml:space="preserve">Graph showing Temperature vs. Reaction Rate</w:t>
      </w:r>
      <w:r>
        <w:br/>
      </w:r>
      <w:r>
        <w:t xml:space="preserve">Caption: Comparative analysis of traditional CSTR vs. Micro-reactor efficiency in Ankara pilot tests.</w:t>
      </w:r>
    </w:p>
    <w:bookmarkEnd w:id="25"/>
    <w:bookmarkStart w:id="26" w:name="analytical-framework"/>
    <w:p>
      <w:pPr>
        <w:pStyle w:val="Heading3"/>
      </w:pPr>
      <w:r>
        <w:t xml:space="preserve">Analytical Framework</w:t>
      </w:r>
    </w:p>
    <w:p>
      <w:pPr>
        <w:pStyle w:val="FirstParagraph"/>
      </w:pPr>
      <w:r>
        <w:t xml:space="preserve">The data was analyzed using Python-based statistical tools to determine significant variances. Furthermore, life-cycle assessment (LCA) metrics were applied to quantify the environmental impact reduction potential.</w:t>
      </w:r>
    </w:p>
    <w:bookmarkEnd w:id="26"/>
    <w:bookmarkEnd w:id="27"/>
    <w:bookmarkStart w:id="28" w:name="preliminary-results"/>
    <w:p>
      <w:pPr>
        <w:pStyle w:val="Heading2"/>
      </w:pPr>
      <w:r>
        <w:t xml:space="preserve">Preliminary Results</w:t>
      </w:r>
    </w:p>
    <w:p>
      <w:pPr>
        <w:numPr>
          <w:ilvl w:val="0"/>
          <w:numId w:val="1002"/>
        </w:numPr>
        <w:pStyle w:val="Compact"/>
      </w:pPr>
      <w:r>
        <w:rPr>
          <w:bCs/>
          <w:b/>
        </w:rPr>
        <w:t xml:space="preserve">Efficiency Increase:</w:t>
      </w:r>
      <w:r>
        <w:t xml:space="preserve">The micro-reactor setup demonstrated a 35% increase in reaction selectivity compared to batch reactors.</w:t>
      </w:r>
    </w:p>
    <w:p>
      <w:pPr>
        <w:numPr>
          <w:ilvl w:val="0"/>
          <w:numId w:val="1002"/>
        </w:numPr>
        <w:pStyle w:val="Compact"/>
      </w:pPr>
      <w:r>
        <w:rPr>
          <w:bCs/>
          <w:b/>
        </w:rPr>
        <w:t xml:space="preserve">Energy Savings:</w:t>
      </w:r>
      <w:r>
        <w:t xml:space="preserve">Heat integration strategies reduced energy consumption by approximately 22%.</w:t>
      </w:r>
    </w:p>
    <w:p>
      <w:pPr>
        <w:numPr>
          <w:ilvl w:val="0"/>
          <w:numId w:val="1002"/>
        </w:numPr>
        <w:pStyle w:val="Compact"/>
      </w:pPr>
      <w:r>
        <w:rPr>
          <w:bCs/>
          <w:b/>
        </w:rPr>
        <w:t xml:space="preserve">Safety Profile:</w:t>
      </w:r>
      <w:r>
        <w:t xml:space="preserve">: The hold-up volume of hazardous intermediates was reduced by 90%, significantly enhancing safety protocols for local facility implementations.</w:t>
      </w:r>
    </w:p>
    <w:bookmarkEnd w:id="28"/>
    <w:bookmarkStart w:id="33" w:name="diskussion-implications"/>
    <w:p>
      <w:pPr>
        <w:pStyle w:val="Heading2"/>
      </w:pPr>
      <w:r>
        <w:t xml:space="preserve">Diskussion &amp; Implications</w:t>
      </w:r>
    </w:p>
    <w:p>
      <w:pPr>
        <w:pStyle w:val="FirstParagraph"/>
      </w:pPr>
      <w:r>
        <w:t xml:space="preserve">The results indicate that adopting process intensification technologies is not merely a technical upgrade but a strategic imperative for Turkish industry. For the chemical engineer working in Ankara, these findings provide actionable data to convince stakeholders of the long-term ROI (Return on Investment) associated with modernizing infrastructure.</w:t>
      </w:r>
    </w:p>
    <w:bookmarkStart w:id="29" w:name="economic-impact-for-ankara-industries"/>
    <w:p>
      <w:pPr>
        <w:pStyle w:val="Heading3"/>
      </w:pPr>
      <w:r>
        <w:t xml:space="preserve">Economic Impact for Ankara Industries</w:t>
      </w:r>
    </w:p>
    <w:p>
      <w:pPr>
        <w:pStyle w:val="FirstParagraph"/>
      </w:pPr>
      <w:r>
        <w:t xml:space="preserve">Ankara hosts several major industrial sites. By implementing PI techniques, local manufacturers can reduce operational costs while simultaneously meeting stricter environmental regulations. This is particularly relevant given Turkey's commitment to sustainable development goals (SDGs). The reduction in waste heat and improved yield directly translates to lower production costs, enhancing the global competitiveness of Turkish exports.</w:t>
      </w:r>
    </w:p>
    <w:bookmarkEnd w:id="29"/>
    <w:bookmarkStart w:id="32" w:name="Xfd1c513821f6c4b6e79d5766d4335624137f898"/>
    <w:p>
      <w:pPr>
        <w:pStyle w:val="Heading3"/>
      </w:pPr>
      <w:r>
        <w:t xml:space="preserve">Educational and Professional Implications</w:t>
      </w:r>
    </w:p>
    <w:p>
      <w:pPr>
        <w:pStyle w:val="FirstParagraph"/>
      </w:pPr>
      <w:r>
        <w:t xml:space="preserve">This research underscores the need for updated curricula in chemical engineering programs across Turkey. Universities must emphasize digital simulation skills, green chemistry principles, and cross-disciplinary collaboration. The role of the chemical engineer is evolving into that of a "systems integrator," requiring proficiency in data science alongside traditional thermodynamics.</w:t>
      </w:r>
    </w:p>
    <w:p>
      <w:pPr>
        <w:pStyle w:val="BodyText"/>
      </w:pPr>
      <w:r>
        <w:rPr>
          <w:bCs/>
          <w:b/>
        </w:rPr>
        <w:t xml:space="preserve">Conclusion</w:t>
      </w:r>
      <w:r>
        <w:br/>
      </w:r>
      <w:r>
        <w:t xml:space="preserve">The integration of micro-reactor technology into existing petrochemical workflows in Ankara offers substantial benefits. It aligns with national goals for industrial modernization and environmental sustainability. As Turkey positions itself as a regional leader in energy transition, the proactive engagement of chemical engineers is critical.</w:t>
      </w:r>
    </w:p>
    <w:bookmarkStart w:id="30" w:name="future-work"/>
    <w:p>
      <w:pPr>
        <w:pStyle w:val="Heading3"/>
      </w:pPr>
      <w:r>
        <w:t xml:space="preserve">Future Work</w:t>
      </w:r>
    </w:p>
    <w:p>
      <w:pPr>
        <w:pStyle w:val="FirstParagraph"/>
      </w:pPr>
      <w:r>
        <w:rPr>
          <w:bCs/>
          <w:b/>
        </w:rPr>
        <w:t xml:space="preserve">Pilot Scaling:</w:t>
      </w:r>
      <w:r>
        <w:t xml:space="preserve">Moving from bench-top to semi-industrial scale validation in collaboration with local partners.</w:t>
      </w:r>
    </w:p>
    <w:p>
      <w:pPr>
        <w:pStyle w:val="BodyText"/>
      </w:pPr>
      <w:r>
        <w:rPr>
          <w:bCs/>
          <w:b/>
        </w:rPr>
        <w:t xml:space="preserve">Digital Twins:</w:t>
      </w:r>
      <w:r>
        <w:t xml:space="preserve">: Developing digital twin models for real-time process optimization.</w:t>
      </w:r>
    </w:p>
    <w:bookmarkEnd w:id="30"/>
    <w:bookmarkStart w:id="31" w:name="acknowledgments"/>
    <w:p>
      <w:pPr>
        <w:pStyle w:val="Heading2"/>
      </w:pPr>
      <w:r>
        <w:t xml:space="preserve">Acknowledgments</w:t>
      </w:r>
    </w:p>
    <w:p>
      <w:pPr>
        <w:pStyle w:val="FirstParagraph"/>
      </w:pPr>
      <w:r>
        <w:t xml:space="preserve">We thank the Scientific and Technological Research Council of Turkey (TUBITAK) for their funding support. We also acknowledge the technical staff at the Ankara University Chemical Engineering Department laboratory for their assistance in data collection.</w:t>
      </w:r>
    </w:p>
    <w:bookmarkEnd w:id="31"/>
    <w:bookmarkEnd w:id="32"/>
    <w:bookmarkEnd w:id="33"/>
    <w:bookmarkStart w:id="34" w:name="contact-information"/>
    <w:p>
      <w:pPr>
        <w:pStyle w:val="Heading3"/>
      </w:pPr>
      <w:r>
        <w:t xml:space="preserve">Contact Information</w:t>
      </w:r>
    </w:p>
    <w:p>
      <w:pPr>
        <w:pStyle w:val="FirstParagraph"/>
      </w:pPr>
      <w:r>
        <w:rPr>
          <w:bCs/>
          <w:b/>
        </w:rPr>
        <w:t xml:space="preserve">Presentation Lead:</w:t>
      </w:r>
      <w:r>
        <w:t xml:space="preserve"> </w:t>
      </w:r>
      <w:r>
        <w:t xml:space="preserve">Dr. [Name Surname]</w:t>
      </w:r>
      <w:r>
        <w:br/>
      </w:r>
      <w:r>
        <w:t xml:space="preserve">Faculty of Engineering, Ankara University</w:t>
      </w:r>
      <w:r>
        <w:br/>
      </w:r>
      <w:r>
        <w:br/>
      </w:r>
    </w:p>
    <w:p>
      <w:pPr>
        <w:pStyle w:val="BodyText"/>
      </w:pPr>
      <w:r>
        <w:t xml:space="preserve">"06830 Beşevler, Ankara, Turkey" | Email: researcher@ankara.edu.tr | Phone: +90 312 XXX XX XX</w:t>
      </w:r>
    </w:p>
    <w:p>
      <w:r>
        <w:pict>
          <v:rect style="width:0;height:1.5pt" o:hralign="center" o:hrstd="t" o:hr="t"/>
        </w:pict>
      </w:r>
    </w:p>
    <w:p>
      <w:pPr>
        <w:pStyle w:val="FirstParagraph"/>
      </w:pPr>
      <w:r>
        <w:t xml:space="preserve">© 2023 Poster Presentation Academic Document.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Ankara Innovation Hub</dc:title>
  <dc:creator/>
  <dc:language>en</dc:language>
  <cp:keywords/>
  <dcterms:created xsi:type="dcterms:W3CDTF">2026-07-29T08:18:57Z</dcterms:created>
  <dcterms:modified xsi:type="dcterms:W3CDTF">2026-07-29T08:18:57Z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