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Chemist</w:t>
      </w:r>
      <w:r>
        <w:t xml:space="preserve"> </w:t>
      </w:r>
      <w:r>
        <w:t xml:space="preserve">Poster</w:t>
      </w:r>
      <w:r>
        <w:t xml:space="preserve"> </w:t>
      </w:r>
      <w:r>
        <w:t xml:space="preserve">Presentation</w:t>
      </w:r>
    </w:p>
    <w:bookmarkStart w:id="30" w:name="X1aec8d5e25e59ec47bc460114daf49b0705f89f"/>
    <w:p>
      <w:pPr>
        <w:pStyle w:val="Heading1"/>
      </w:pPr>
      <w:r>
        <w:t xml:space="preserve">Bridging Innovation and Sustainability in the Australian Chemical Sector</w:t>
      </w:r>
    </w:p>
    <w:p>
      <w:pPr>
        <w:pStyle w:val="FirstParagraph"/>
      </w:pPr>
      <w:r>
        <w:rPr>
          <w:bCs/>
          <w:b/>
        </w:rPr>
        <w:t xml:space="preserve">Presentation Title:</w:t>
      </w:r>
      <w:r>
        <w:br/>
      </w:r>
      <w:r>
        <w:t xml:space="preserve">Australian Chemist Poster Presentation</w:t>
      </w:r>
      <w:r>
        <w:br/>
      </w:r>
      <w:r>
        <w:rPr>
          <w:iCs/>
          <w:i/>
        </w:rPr>
        <w:t xml:space="preserve">Focusing on Regulatory Compliance, Green Chemistry, and Workforce Development in Australia Melbourne</w:t>
      </w:r>
    </w:p>
    <w:p>
      <w:r>
        <w:pict>
          <v:rect style="width:0;height:1.5pt" o:hralign="center" o:hrstd="t" o:hr="t"/>
        </w:pict>
      </w:r>
    </w:p>
    <w:bookmarkStart w:id="20" w:name="introduction-and-contextual-framework"/>
    <w:p>
      <w:pPr>
        <w:pStyle w:val="Heading2"/>
      </w:pPr>
      <w:r>
        <w:t xml:space="preserve">1. Introduction and Contextual Framework</w:t>
      </w:r>
    </w:p>
    <w:p>
      <w:pPr>
        <w:pStyle w:val="FirstParagraph"/>
      </w:pPr>
      <w:r>
        <w:t xml:space="preserve">The role of the modern chemist is evolving rapidly, driven by global sustainability goals, technological advancements, and stringent regulatory frameworks. This poster presentation focuses specifically on the unique landscape of Australia Melbourne, a hub for scientific innovation in Oceania. As we transition towards a green economy it is imperative to understand how an Australian Chemist can lead initiatives that balance industrial productivity with environmental stewardship.</w:t>
      </w:r>
    </w:p>
    <w:bookmarkEnd w:id="20"/>
    <w:bookmarkStart w:id="21" w:name="the-australia-melbourne-ecosystem"/>
    <w:p>
      <w:pPr>
        <w:pStyle w:val="Heading2"/>
      </w:pPr>
      <w:r>
        <w:t xml:space="preserve">2. The Australia Melbourne Ecosystem</w:t>
      </w:r>
    </w:p>
    <w:p>
      <w:pPr>
        <w:pStyle w:val="FirstParagraph"/>
      </w:pPr>
      <w:r>
        <w:t xml:space="preserve">Melbourne has established itself as a premier city for research and development in the Asia-Pacific region. For an Australian Chemist operating in this environment, the context is defined by several key factors:</w:t>
      </w:r>
    </w:p>
    <w:bookmarkEnd w:id="21"/>
    <w:p>
      <w:pPr>
        <w:numPr>
          <w:ilvl w:val="0"/>
          <w:numId w:val="1001"/>
        </w:numPr>
        <w:pStyle w:val="Compact"/>
      </w:pPr>
      <w:r>
        <w:rPr>
          <w:bCs/>
          <w:b/>
        </w:rPr>
        <w:t xml:space="preserve">Regulatory Environment:</w:t>
      </w:r>
      <w:r>
        <w:br/>
      </w:r>
      <w:r>
        <w:t xml:space="preserve">The Australian chemical industry is governed by the National Industrial Chemicals Notification and Assessment Scheme (NICNAS) and the newer Workplace Health and Safety regulations. An Australian Chemist must be well-versed in these compliance standards to ensure safety for both workers and consumers.</w:t>
      </w:r>
    </w:p>
    <w:p>
      <w:pPr>
        <w:numPr>
          <w:ilvl w:val="0"/>
          <w:numId w:val="1001"/>
        </w:numPr>
        <w:pStyle w:val="Compact"/>
      </w:pPr>
      <w:r>
        <w:rPr>
          <w:bCs/>
          <w:b/>
        </w:rPr>
        <w:t xml:space="preserve">Sustainability Goals:</w:t>
      </w:r>
      <w:r>
        <w:br/>
      </w:r>
      <w:r>
        <w:t xml:space="preserve">Australia Melbourne is committed to reducing carbon emissions by 43% by 2030. This creates a significant demand for chemists who can develop low-carbon manufacturing processes and sustainable material alternatives.</w:t>
      </w:r>
    </w:p>
    <w:p>
      <w:pPr>
        <w:numPr>
          <w:ilvl w:val="0"/>
          <w:numId w:val="1001"/>
        </w:numPr>
        <w:pStyle w:val="Compact"/>
      </w:pPr>
      <w:r>
        <w:rPr>
          <w:bCs/>
          <w:b/>
        </w:rPr>
        <w:t xml:space="preserve">Research Infrastructure:</w:t>
      </w:r>
      <w:r>
        <w:br/>
      </w:r>
      <w:r>
        <w:t xml:space="preserve">The presence of world-class institutions such as the University of Melbourne, Monash University, and various CSIRO labs provides an unparalleled environment for collaborative research. These partnerships are crucial for translating laboratory discoveries into industrial applications.</w:t>
      </w:r>
    </w:p>
    <w:bookmarkStart w:id="23" w:name="key-themes-in-modern-chemical-practice"/>
    <w:p>
      <w:pPr>
        <w:pStyle w:val="Heading2"/>
      </w:pPr>
      <w:r>
        <w:t xml:space="preserve">3. Key Themes in Modern Chemical Practice</w:t>
      </w:r>
    </w:p>
    <w:bookmarkStart w:id="22" w:name="a.-green-chemistry-and-circular-economy"/>
    <w:p>
      <w:pPr>
        <w:pStyle w:val="Heading3"/>
      </w:pPr>
      <w:r>
        <w:t xml:space="preserve">A. Green Chemistry and Circular Economy</w:t>
      </w:r>
    </w:p>
    <w:p>
      <w:pPr>
        <w:pStyle w:val="FirstParagraph"/>
      </w:pPr>
      <w:r>
        <w:t xml:space="preserve">The concept of green chemistry is not just a theoretical ideal but a practical necessity in Australia Melbourne. Australian Chemists are increasingly tasked with redesigning chemical products and processes to minimize or eliminate the use and generation of hazardous substances. This includes:</w:t>
      </w:r>
    </w:p>
    <w:bookmarkEnd w:id="22"/>
    <w:bookmarkEnd w:id="23"/>
    <w:p>
      <w:pPr>
        <w:numPr>
          <w:ilvl w:val="0"/>
          <w:numId w:val="1002"/>
        </w:numPr>
        <w:pStyle w:val="Compact"/>
      </w:pPr>
      <w:r>
        <w:rPr>
          <w:bCs/>
          <w:b/>
        </w:rPr>
        <w:t xml:space="preserve">Solvent Reduction:</w:t>
      </w:r>
      <w:r>
        <w:t xml:space="preserve"> </w:t>
      </w:r>
      <w:r>
        <w:t xml:space="preserve">Developing aqueous-based systems or using supercritical fluids instead of volatile organic compounds (VOCs).</w:t>
      </w:r>
    </w:p>
    <w:p>
      <w:pPr>
        <w:numPr>
          <w:ilvl w:val="0"/>
          <w:numId w:val="1002"/>
        </w:numPr>
        <w:pStyle w:val="Compact"/>
      </w:pPr>
      <w:r>
        <w:rPr>
          <w:bCs/>
          <w:b/>
        </w:rPr>
        <w:t xml:space="preserve">Bio-derived Feedstocks:</w:t>
      </w:r>
      <w:r>
        <w:t xml:space="preserve"> </w:t>
      </w:r>
      <w:r>
        <w:t xml:space="preserve">Utilizing biomass and renewable resources to replace petrochemical-derived materials, a particularly relevant strategy given Australia's rich agricultural sector.</w:t>
      </w:r>
    </w:p>
    <w:p>
      <w:pPr>
        <w:numPr>
          <w:ilvl w:val="0"/>
          <w:numId w:val="1002"/>
        </w:numPr>
        <w:pStyle w:val="Compact"/>
      </w:pPr>
      <w:r>
        <w:t xml:space="preserve">Waste Valorization:</w:t>
      </w:r>
    </w:p>
    <w:bookmarkStart w:id="24" w:name="b.-advanced-materials-and-nanotechnology"/>
    <w:p>
      <w:pPr>
        <w:pStyle w:val="Heading3"/>
      </w:pPr>
      <w:r>
        <w:t xml:space="preserve">B. Advanced Materials and Nanotechnology</w:t>
      </w:r>
    </w:p>
    <w:bookmarkEnd w:id="24"/>
    <w:p>
      <w:pPr>
        <w:pStyle w:val="FirstParagraph"/>
      </w:pPr>
      <w:r>
        <w:t xml:space="preserve">Melbourne's strong mining and resources sector drives significant research into advanced materials. Australian Chemists are at the forefront of developing nanomaterials for water purification, energy storage, and mineral extraction. These innovations are critical not only for local industries but also for exporting sustainable technologies to global markets.</w:t>
      </w:r>
    </w:p>
    <w:bookmarkStart w:id="25" w:name="challenges-facing-the-australian-chemist"/>
    <w:p>
      <w:pPr>
        <w:pStyle w:val="Heading2"/>
      </w:pPr>
      <w:r>
        <w:t xml:space="preserve">4. Challenges Facing the Australian Chemist</w:t>
      </w:r>
    </w:p>
    <w:p>
      <w:pPr>
        <w:pStyle w:val="FirstParagraph"/>
      </w:pPr>
      <w:r>
        <w:t xml:space="preserve">Despite the opportunities, several challenges persist within the Australia Melbourne scientific community:</w:t>
      </w:r>
    </w:p>
    <w:bookmarkEnd w:id="25"/>
    <w:p>
      <w:pPr>
        <w:numPr>
          <w:ilvl w:val="0"/>
          <w:numId w:val="1003"/>
        </w:numPr>
        <w:pStyle w:val="Compact"/>
      </w:pPr>
      <w:r>
        <w:rPr>
          <w:bCs/>
          <w:b/>
        </w:rPr>
        <w:t xml:space="preserve">Skill Shortages:</w:t>
      </w:r>
      <w:r>
        <w:br/>
      </w:r>
      <w:r>
        <w:t xml:space="preserve">There is a growing demand for specialized skills in analytical chemistry and process engineering. Addressing this requires robust education pathways and continuous professional development for practicing chemists.</w:t>
      </w:r>
    </w:p>
    <w:p>
      <w:pPr>
        <w:numPr>
          <w:ilvl w:val="0"/>
          <w:numId w:val="1003"/>
        </w:numPr>
        <w:pStyle w:val="Compact"/>
      </w:pPr>
      <w:r>
        <w:rPr>
          <w:bCs/>
          <w:b/>
        </w:rPr>
        <w:t xml:space="preserve">Funding Constraints:</w:t>
      </w:r>
      <w:r>
        <w:br/>
      </w:r>
      <w:r>
        <w:t xml:space="preserve">While Melbourne boasts excellent research facilities, securing long-term funding for translational research remains competitive. Collaboration between academia and industry is essential to bridge this gap.</w:t>
      </w:r>
    </w:p>
    <w:p>
      <w:pPr>
        <w:numPr>
          <w:ilvl w:val="0"/>
          <w:numId w:val="1003"/>
        </w:numPr>
        <w:pStyle w:val="Compact"/>
      </w:pPr>
      <w:r>
        <w:rPr>
          <w:bCs/>
          <w:b/>
        </w:rPr>
        <w:t xml:space="preserve">Public Perception:</w:t>
      </w:r>
      <w:r>
        <w:br/>
      </w:r>
      <w:r>
        <w:t xml:space="preserve">Maintaining public trust in chemical safety and environmental impact requires transparent communication strategies. Australian Chemists must engage with communities to explain the benefits and risks associated with chemical technologies.</w:t>
      </w:r>
    </w:p>
    <w:bookmarkStart w:id="26" w:name="strategic-recommendations"/>
    <w:p>
      <w:pPr>
        <w:pStyle w:val="Heading2"/>
      </w:pPr>
      <w:r>
        <w:t xml:space="preserve">5. Strategic Recommendations</w:t>
      </w:r>
    </w:p>
    <w:p>
      <w:pPr>
        <w:pStyle w:val="FirstParagraph"/>
      </w:pPr>
      <w:r>
        <w:t xml:space="preserve">To address these challenges and capitalize on existing strengths, the following strategic recommendations are proposed for stakeholders in the Australia Melbourne region:</w:t>
      </w:r>
    </w:p>
    <w:p>
      <w:pPr>
        <w:numPr>
          <w:ilvl w:val="0"/>
          <w:numId w:val="1004"/>
        </w:numPr>
        <w:pStyle w:val="Compact"/>
      </w:pPr>
      <w:r>
        <w:rPr>
          <w:bCs/>
          <w:b/>
        </w:rPr>
        <w:t xml:space="preserve">Enhanced Education Partnerships:</w:t>
      </w:r>
      <w:r>
        <w:br/>
      </w:r>
      <w:r>
        <w:t xml:space="preserve">Universities should collaborate closely with local industries to design curricula that reflect current workforce needs. Internships and co-op programs can provide students with practical experience in real-world chemical engineering challenges.</w:t>
      </w:r>
    </w:p>
    <w:p>
      <w:pPr>
        <w:numPr>
          <w:ilvl w:val="0"/>
          <w:numId w:val="1004"/>
        </w:numPr>
        <w:pStyle w:val="Compact"/>
      </w:pPr>
      <w:r>
        <w:rPr>
          <w:bCs/>
          <w:b/>
        </w:rPr>
        <w:t xml:space="preserve">Incentives for Green Innovation:</w:t>
      </w:r>
      <w:r>
        <w:br/>
      </w:r>
      <w:r>
        <w:t xml:space="preserve">The government should introduce tax incentives or grants specifically for projects led by Australian Chemists that demonstrate measurable improvements in sustainability metrics.</w:t>
      </w:r>
    </w:p>
    <w:p>
      <w:pPr>
        <w:numPr>
          <w:ilvl w:val="0"/>
          <w:numId w:val="1004"/>
        </w:numPr>
        <w:pStyle w:val="Compact"/>
      </w:pPr>
      <w:r>
        <w:rPr>
          <w:bCs/>
          <w:b/>
        </w:rPr>
        <w:t xml:space="preserve">Regional Collaboration:</w:t>
      </w:r>
      <w:r>
        <w:br/>
      </w:r>
      <w:r>
        <w:t xml:space="preserve">Melbourne should strengthen ties with other scientific hubs in Australia, such as Sydney and Brisbane, to share resources and knowledge. This national approach can amplify the impact of individual research efforts.</w:t>
      </w:r>
    </w:p>
    <w:bookmarkEnd w:id="26"/>
    <w:bookmarkStart w:id="27" w:name="conclusion"/>
    <w:p>
      <w:pPr>
        <w:pStyle w:val="Heading2"/>
      </w:pPr>
      <w:r>
        <w:t xml:space="preserve">6. Conclusion</w:t>
      </w:r>
    </w:p>
    <w:p>
      <w:pPr>
        <w:pStyle w:val="FirstParagraph"/>
      </w:pPr>
      <w:r>
        <w:t xml:space="preserve">The future of chemistry in Australia Melbourne is bright, provided that the profession continues to adapt to changing global and local demands. By embracing green chemistry principles, leveraging advanced materials research, and fostering strong educational partnerships Australian Chemists can drive sustainable economic growth while protecting environmental health.</w:t>
      </w:r>
    </w:p>
    <w:bookmarkEnd w:id="27"/>
    <w:bookmarkStart w:id="28" w:name="contact-information"/>
    <w:p>
      <w:pPr>
        <w:pStyle w:val="Heading3"/>
      </w:pPr>
      <w:r>
        <w:t xml:space="preserve">Contact Information</w:t>
      </w:r>
    </w:p>
    <w:p>
      <w:pPr>
        <w:pStyle w:val="FirstParagraph"/>
      </w:pPr>
      <w:r>
        <w:rPr>
          <w:bCs/>
          <w:b/>
        </w:rPr>
        <w:t xml:space="preserve">Name:</w:t>
      </w:r>
      <w:r>
        <w:t xml:space="preserve"> </w:t>
      </w:r>
      <w:r>
        <w:t xml:space="preserve">Dr. Jane Smith</w:t>
      </w:r>
      <w:r>
        <w:br/>
      </w:r>
      <w:r>
        <w:rPr>
          <w:bCs/>
          <w:b/>
        </w:rPr>
        <w:t xml:space="preserve">Title:</w:t>
      </w:r>
      <w:r>
        <w:t xml:space="preserve"> </w:t>
      </w:r>
      <w:r>
        <w:t xml:space="preserve">Senior Research Chemist</w:t>
      </w:r>
      <w:r>
        <w:br/>
      </w:r>
      <w:r>
        <w:rPr>
          <w:bCs/>
          <w:b/>
        </w:rPr>
        <w:t xml:space="preserve">Institution:</w:t>
      </w:r>
      <w:r>
        <w:t xml:space="preserve"> </w:t>
      </w:r>
      <w:r>
        <w:t xml:space="preserve">Melbourne Institute of Chemical Sciences</w:t>
      </w:r>
      <w:r>
        <w:br/>
      </w:r>
    </w:p>
    <w:bookmarkEnd w:id="28"/>
    <w:p>
      <w:pPr>
        <w:pStyle w:val="BodyText"/>
      </w:pPr>
      <w:r>
        <w:t xml:space="preserve">&gt;</w:t>
      </w:r>
    </w:p>
    <w:bookmarkStart w:id="29" w:name="references"/>
    <w:p>
      <w:pPr>
        <w:pStyle w:val="Heading4"/>
      </w:pPr>
      <w:r>
        <w:t xml:space="preserve">References</w:t>
      </w:r>
    </w:p>
    <w:p>
      <w:pPr>
        <w:numPr>
          <w:ilvl w:val="0"/>
          <w:numId w:val="1005"/>
        </w:numPr>
        <w:pStyle w:val="Compact"/>
      </w:pPr>
      <w:r>
        <w:t xml:space="preserve">Australian Government Department of Industry, Science, Energy and Resources. (2023). National Innovation and Science Agenda.</w:t>
      </w:r>
    </w:p>
    <w:p>
      <w:pPr>
        <w:numPr>
          <w:ilvl w:val="0"/>
          <w:numId w:val="1005"/>
        </w:numPr>
        <w:pStyle w:val="Compact"/>
      </w:pPr>
      <w:r>
        <w:t xml:space="preserve">Melbourne City Council. (2023). Sustainable Melbourne 185: Climate Action Plan.</w:t>
      </w:r>
    </w:p>
    <w:bookmarkEnd w:id="29"/>
    <w:p>
      <w:pPr>
        <w:pStyle w:val="FirstParagraph"/>
      </w:pPr>
      <w:r>
        <w:t xml:space="preserve">&gt;</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Chemist Poster Presentation</dc:title>
  <dc:creator/>
  <dc:language>en</dc:language>
  <cp:keywords/>
  <dcterms:created xsi:type="dcterms:W3CDTF">2026-07-29T06:49:57Z</dcterms:created>
  <dcterms:modified xsi:type="dcterms:W3CDTF">2026-07-29T06:49:57Z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