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France</w:t>
      </w:r>
    </w:p>
    <w:bookmarkStart w:id="20" w:name="bridging-molecules-and-minds"/>
    <w:p>
      <w:pPr>
        <w:pStyle w:val="Heading1"/>
      </w:pPr>
      <w:r>
        <w:t xml:space="preserve">Bridging Molecules and Minds</w:t>
      </w:r>
    </w:p>
    <w:p>
      <w:pPr>
        <w:pStyle w:val="FirstParagraph"/>
      </w:pPr>
      <w:r>
        <w:br/>
      </w:r>
    </w:p>
    <w:p>
      <w:pPr>
        <w:pStyle w:val="BodyText"/>
      </w:pPr>
      <w:r>
        <w:t xml:space="preserve">Classical and Contemporary Perspectives on Chemical Innovation</w:t>
      </w:r>
      <w:r>
        <w:t xml:space="preserve"> </w:t>
      </w:r>
      <w:r>
        <w:t xml:space="preserve">in France Paris</w:t>
      </w:r>
    </w:p>
    <w:bookmarkEnd w:id="20"/>
    <w:bookmarkStart w:id="21" w:name="X64a9ec1645a1cf6013431d34c64b0c6c48ef53c"/>
    <w:p>
      <w:pPr>
        <w:pStyle w:val="Heading2"/>
      </w:pPr>
      <w:r>
        <w:rPr>
          <w:bCs/>
          <w:b/>
        </w:rPr>
        <w:t xml:space="preserve">1. Introduction to the Academic Poster Presentation Context</w:t>
      </w:r>
    </w:p>
    <w:p>
      <w:pPr>
        <w:pStyle w:val="FirstParagraph"/>
      </w:pPr>
      <w:r>
        <w:t xml:space="preserve">The landscape of scientific communication has evolved significantly over the past decade, moving away from dense textual journals toward dynamic visual formats such as the academic poster presentation. In this digital age, where attention spans are shorter and information density must be balanced with aesthetic appeal, the poster serves as a critical medium for immediate knowledge exchange. For researchers operating within</w:t>
      </w:r>
      <w:r>
        <w:t xml:space="preserve"> </w:t>
      </w:r>
      <w:r>
        <w:rPr>
          <w:bCs/>
          <w:b/>
        </w:rPr>
        <w:t xml:space="preserve">France Paris</w:t>
      </w:r>
      <w:r>
        <w:t xml:space="preserve">, a city that stands as both a historical cradle of scientific discovery and a modern hub for international collaboration, the role of the academic poster presentation cannot be overstated.</w:t>
      </w:r>
    </w:p>
    <w:p>
      <w:pPr>
        <w:pStyle w:val="BodyText"/>
      </w:pPr>
      <w:r>
        <w:t xml:space="preserve">This document explores how the specific cultural and institutional environment of</w:t>
      </w:r>
      <w:r>
        <w:t xml:space="preserve"> </w:t>
      </w:r>
      <w:r>
        <w:rPr>
          <w:bCs/>
          <w:b/>
        </w:rPr>
        <w:t xml:space="preserve">France Paris</w:t>
      </w:r>
      <w:r>
        <w:t xml:space="preserve"> </w:t>
      </w:r>
      <w:r>
        <w:t xml:space="preserve">influences the design, delivery, and reception of these presentations. It is not merely about displaying data; it is about engaging in a dialogue that transcends language barriers through visual storytelling. The chemist, as a central figure in this process, must adapt their technical expertise to fit the constraints and opportunities offered by the poster format.</w:t>
      </w:r>
    </w:p>
    <w:bookmarkEnd w:id="21"/>
    <w:bookmarkStart w:id="22" w:name="X5797f7090d09e7789d2e70fe2ff03707a8503bf"/>
    <w:p>
      <w:pPr>
        <w:pStyle w:val="Heading2"/>
      </w:pPr>
      <w:r>
        <w:rPr>
          <w:bCs/>
          <w:b/>
        </w:rPr>
        <w:t xml:space="preserve">2. The Chemist: A Specialist in Molecular Dialogue</w:t>
      </w:r>
    </w:p>
    <w:p>
      <w:pPr>
        <w:pStyle w:val="FirstParagraph"/>
      </w:pPr>
      <w:r>
        <w:t xml:space="preserve">The chemist is uniquely positioned to benefit from visual presentation formats. Chemistry is an inherently structural and spatial science. Concepts such as molecular geometry, reaction mechanisms, and catalytic cycles are difficult to convey through text alone but become immediately understandable when represented visually. The academic poster presentation allows the chemist to map out complex pathways that would otherwise remain abstract.</w:t>
      </w:r>
    </w:p>
    <w:p>
      <w:pPr>
        <w:pStyle w:val="BodyText"/>
      </w:pPr>
      <w:r>
        <w:t xml:space="preserve">However, the modern chemist is no longer just a lab technician mixing reagents; they are data scientists, interdisciplinary collaborators, and public communicators. In the context of</w:t>
      </w:r>
      <w:r>
        <w:t xml:space="preserve"> </w:t>
      </w:r>
      <w:r>
        <w:rPr>
          <w:bCs/>
          <w:b/>
        </w:rPr>
        <w:t xml:space="preserve">France Paris</w:t>
      </w:r>
      <w:r>
        <w:t xml:space="preserve">, where institutions like CNRS (Centre National de la Recherche Scientifique) and various grandes écoles demand rigorous peer review alongside innovation, the chemist must demonstrate not only technical proficiency but also the ability to synthesize information for a diverse audience. The poster serves as a business card for their research, summarizing months or years of work into a single glanceable interface.</w:t>
      </w:r>
    </w:p>
    <w:bookmarkEnd w:id="22"/>
    <w:bookmarkStart w:id="23" w:name="the-strategic-importance-of-france-paris"/>
    <w:p>
      <w:pPr>
        <w:pStyle w:val="Heading2"/>
      </w:pPr>
      <w:r>
        <w:rPr>
          <w:bCs/>
          <w:b/>
        </w:rPr>
        <w:t xml:space="preserve">3. The Strategic Importance of France Paris</w:t>
      </w:r>
    </w:p>
    <w:p>
      <w:pPr>
        <w:pStyle w:val="FirstParagraph"/>
      </w:pPr>
      <w:r>
        <w:t xml:space="preserve">Focusing on the specific locale of</w:t>
      </w:r>
      <w:r>
        <w:t xml:space="preserve"> </w:t>
      </w:r>
      <w:r>
        <w:rPr>
          <w:bCs/>
          <w:b/>
        </w:rPr>
        <w:t xml:space="preserve">France Paris</w:t>
      </w:r>
      <w:r>
        <w:t xml:space="preserve"> </w:t>
      </w:r>
      <w:r>
        <w:t xml:space="preserve">reveals unique opportunities and challenges for the academic chemist. Paris is home to some of the most prestigious scientific institutions in Europe, including Sorbonne University and the Institut Pasteur. These institutions attract a global talent pool, meaning that any academic poster presentation occurring within this city will likely involve an international audience.</w:t>
      </w:r>
    </w:p>
    <w:p>
      <w:pPr>
        <w:pStyle w:val="BodyText"/>
      </w:pPr>
      <w:r>
        <w:t xml:space="preserve">The cultural context of</w:t>
      </w:r>
      <w:r>
        <w:t xml:space="preserve"> </w:t>
      </w:r>
      <w:r>
        <w:rPr>
          <w:bCs/>
          <w:b/>
        </w:rPr>
        <w:t xml:space="preserve">France Paris</w:t>
      </w:r>
      <w:r>
        <w:t xml:space="preserve"> </w:t>
      </w:r>
      <w:r>
        <w:t xml:space="preserve">emphasizes elegance, precision, and intellectual rigor. This aesthetic sensibility directly impacts how presentations are perceived. A disorganized or poorly designed poster may be viewed not just as a technical failure, but as a lack of respect for the host institution's standards. Therefore, the chemist must ensure that their work reflects the high level of craftsmanship associated with French academic traditions.</w:t>
      </w:r>
    </w:p>
    <w:bookmarkEnd w:id="23"/>
    <w:bookmarkStart w:id="24" w:name="X1c643e335284674bc5a6d71da8d8a2638faadec"/>
    <w:p>
      <w:pPr>
        <w:pStyle w:val="Heading2"/>
      </w:pPr>
      <w:r>
        <w:rPr>
          <w:bCs/>
          <w:b/>
        </w:rPr>
        <w:t xml:space="preserve">4. Design Principles for Chemists in France Paris</w:t>
      </w:r>
    </w:p>
    <w:p>
      <w:pPr>
        <w:pStyle w:val="FirstParagraph"/>
      </w:pPr>
      <w:r>
        <w:t xml:space="preserve">To succeed in this environment, several key design principles must be applied to any academic poster presentation:</w:t>
      </w:r>
    </w:p>
    <w:p>
      <w:pPr>
        <w:numPr>
          <w:ilvl w:val="0"/>
          <w:numId w:val="1001"/>
        </w:numPr>
        <w:pStyle w:val="Compact"/>
      </w:pPr>
      <w:r>
        <w:rPr>
          <w:bCs/>
          <w:b/>
        </w:rPr>
        <w:t xml:space="preserve">Visual Hierarchy:</w:t>
      </w:r>
      <w:r>
        <w:t xml:space="preserve"> </w:t>
      </w:r>
      <w:r>
        <w:t xml:space="preserve">The viewer’s eye should be guided naturally from the title to the hypothesis, methodology, results, and finally the conclusion. For a chemist in</w:t>
      </w:r>
      <w:r>
        <w:t xml:space="preserve"> </w:t>
      </w:r>
      <w:r>
        <w:rPr>
          <w:bCs/>
          <w:b/>
        </w:rPr>
        <w:t xml:space="preserve">France Paris</w:t>
      </w:r>
      <w:r>
        <w:t xml:space="preserve">, this hierarchy must be intuitive enough for non-specialists to grasp while satisfying specialists.</w:t>
      </w:r>
    </w:p>
    <w:p>
      <w:pPr>
        <w:numPr>
          <w:ilvl w:val="0"/>
          <w:numId w:val="1001"/>
        </w:numPr>
        <w:pStyle w:val="Compact"/>
      </w:pPr>
      <w:r>
        <w:rPr>
          <w:bCs/>
          <w:b/>
        </w:rPr>
        <w:t xml:space="preserve">Data Visualization:</w:t>
      </w:r>
      <w:r>
        <w:t xml:space="preserve"> </w:t>
      </w:r>
      <w:r>
        <w:t xml:space="preserve">Standard chemical drawings (Skeletal structures) should be accompanied by 3D renderings or animations if possible. In the physical space of</w:t>
      </w:r>
      <w:r>
        <w:t xml:space="preserve"> </w:t>
      </w:r>
      <w:r>
        <w:rPr>
          <w:bCs/>
          <w:b/>
        </w:rPr>
        <w:t xml:space="preserve">France Paris</w:t>
      </w:r>
      <w:r>
        <w:t xml:space="preserve">, where many conferences take place in historic halls with varying lighting conditions, high-contrast visuals are essential.</w:t>
      </w:r>
    </w:p>
    <w:p>
      <w:pPr>
        <w:numPr>
          <w:ilvl w:val="0"/>
          <w:numId w:val="1001"/>
        </w:numPr>
        <w:pStyle w:val="Compact"/>
      </w:pPr>
      <w:r>
        <w:rPr>
          <w:bCs/>
          <w:b/>
        </w:rPr>
        <w:t xml:space="preserve">Bilingual Considerations:</w:t>
      </w:r>
      <w:r>
        <w:t xml:space="preserve"> </w:t>
      </w:r>
      <w:r>
        <w:t xml:space="preserve">While English is the lingua franca of science, acknowledging the local context by including key terms or summaries in French can be a respectful nod to the host country. This dual-language approach enhances engagement among local stakeholders and students in</w:t>
      </w:r>
      <w:r>
        <w:t xml:space="preserve"> </w:t>
      </w:r>
      <w:r>
        <w:rPr>
          <w:bCs/>
          <w:b/>
        </w:rPr>
        <w:t xml:space="preserve">France Paris</w:t>
      </w:r>
      <w:r>
        <w:t xml:space="preserve">.</w:t>
      </w:r>
    </w:p>
    <w:bookmarkEnd w:id="24"/>
    <w:bookmarkStart w:id="25" w:name="interactive-engagement-and-networking"/>
    <w:p>
      <w:pPr>
        <w:pStyle w:val="Heading2"/>
      </w:pPr>
      <w:r>
        <w:rPr>
          <w:bCs/>
          <w:b/>
        </w:rPr>
        <w:t xml:space="preserve">5. Interactive Engagement and Networking</w:t>
      </w:r>
    </w:p>
    <w:p>
      <w:pPr>
        <w:pStyle w:val="FirstParagraph"/>
      </w:pPr>
      <w:r>
        <w:t xml:space="preserve">The ultimate goal of an academic poster presentation is networking. In</w:t>
      </w:r>
      <w:r>
        <w:t xml:space="preserve"> </w:t>
      </w:r>
      <w:r>
        <w:rPr>
          <w:bCs/>
          <w:b/>
        </w:rPr>
        <w:t xml:space="preserve">France Paris</w:t>
      </w:r>
      <w:r>
        <w:t xml:space="preserve">, scientific networking is often characterized by formal yet warm interactions. The chemist must be prepared to discuss their work at varying levels of depth—starting with a 30-second "elevator pitch" and expanding into detailed technical discussions as the audience shows interest.</w:t>
      </w:r>
    </w:p>
    <w:p>
      <w:pPr>
        <w:pStyle w:val="BodyText"/>
      </w:pPr>
      <w:r>
        <w:t xml:space="preserve">The poster acts as an anchor for these conversations. It provides a shared focal point, reducing the social friction of approaching strangers. For the chemist, this means designing call-to-action elements on the poster, such as QR codes linking to preprints or open-access data repositories in</w:t>
      </w:r>
      <w:r>
        <w:t xml:space="preserve"> </w:t>
      </w:r>
      <w:r>
        <w:rPr>
          <w:bCs/>
          <w:b/>
        </w:rPr>
        <w:t xml:space="preserve">France Paris</w:t>
      </w:r>
      <w:r>
        <w:t xml:space="preserve"> </w:t>
      </w:r>
      <w:r>
        <w:t xml:space="preserve">institutions.</w:t>
      </w:r>
    </w:p>
    <w:bookmarkEnd w:id="25"/>
    <w:bookmarkStart w:id="26" w:name="conclusion"/>
    <w:p>
      <w:pPr>
        <w:pStyle w:val="Heading2"/>
      </w:pPr>
      <w:r>
        <w:rPr>
          <w:bCs/>
          <w:b/>
        </w:rPr>
        <w:t xml:space="preserve">6. Conclusion</w:t>
      </w:r>
    </w:p>
    <w:p>
      <w:pPr>
        <w:pStyle w:val="FirstParagraph"/>
      </w:pPr>
      <w:r>
        <w:t xml:space="preserve">In conclusion, the intersection of chemistry, academic communication, and the specific cultural milieu of</w:t>
      </w:r>
      <w:r>
        <w:t xml:space="preserve"> </w:t>
      </w:r>
      <w:r>
        <w:rPr>
          <w:bCs/>
          <w:b/>
        </w:rPr>
        <w:t xml:space="preserve">France Paris</w:t>
      </w:r>
      <w:r>
        <w:t xml:space="preserve"> </w:t>
      </w:r>
      <w:r>
        <w:t xml:space="preserve">creates a unique professional imperative. The chemist must transcend traditional boundaries to become effective visual communicators through the medium of the academic poster presentation. By adhering to high standards of design, respecting local cultural nuances in</w:t>
      </w:r>
      <w:r>
        <w:t xml:space="preserve"> </w:t>
      </w:r>
      <w:r>
        <w:rPr>
          <w:bCs/>
          <w:b/>
        </w:rPr>
        <w:t xml:space="preserve">France Paris</w:t>
      </w:r>
      <w:r>
        <w:t xml:space="preserve">, and leveraging their specialized knowledge in molecular sciences, chemists can significantly enhance their impact within the global scientific community. This approach not only disseminates knowledge but also fosters the collaborative spirit essential for future breakthroughs in chemical sciences.</w:t>
      </w:r>
    </w:p>
    <w:bookmarkEnd w:id="26"/>
    <w:p>
      <w:pPr>
        <w:pStyle w:val="BodyText"/>
      </w:pPr>
      <w:r>
        <w:t xml:space="preserve">© 2023 Academic Research Division | Prepared for the Scientific Community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Chemist in France</dc:title>
  <dc:creator/>
  <dc:language>en</dc:language>
  <cp:keywords/>
  <dcterms:created xsi:type="dcterms:W3CDTF">2026-07-29T00:59:37Z</dcterms:created>
  <dcterms:modified xsi:type="dcterms:W3CDTF">2026-07-29T00:59:37Z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