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Advanced</w:t>
      </w:r>
      <w:r>
        <w:t xml:space="preserve"> </w:t>
      </w:r>
      <w:r>
        <w:t xml:space="preserve">Chemical</w:t>
      </w:r>
      <w:r>
        <w:t xml:space="preserve"> </w:t>
      </w:r>
      <w:r>
        <w:t xml:space="preserve">Research</w:t>
      </w:r>
      <w:r>
        <w:t xml:space="preserve"> </w:t>
      </w:r>
      <w:r>
        <w:t xml:space="preserve">in</w:t>
      </w:r>
      <w:r>
        <w:t xml:space="preserve"> </w:t>
      </w:r>
      <w:r>
        <w:t xml:space="preserve">Berlin</w:t>
      </w:r>
    </w:p>
    <w:bookmarkStart w:id="27" w:name="Xa81f1ea9b7cc52c99ab26a2ac49b3350e561e0d"/>
    <w:p>
      <w:pPr>
        <w:pStyle w:val="Heading1"/>
      </w:pPr>
      <w:r>
        <w:t xml:space="preserve">Sustainable Catalysis and Green Chemistry in the Heart of Europe</w:t>
      </w:r>
    </w:p>
    <w:p>
      <w:pPr>
        <w:pStyle w:val="FirstParagraph"/>
      </w:pPr>
      <w:r>
        <w:rPr>
          <w:bCs/>
          <w:b/>
        </w:rPr>
        <w:t xml:space="preserve">Presentation Title:</w:t>
      </w:r>
      <w:r>
        <w:t xml:space="preserve"> </w:t>
      </w:r>
      <w:r>
        <w:t xml:space="preserve">Innovative Approaches to Heterogeneous Catalysis: Bridging Theoretical Modeling and Industrial Application</w:t>
      </w:r>
    </w:p>
    <w:p>
      <w:pPr>
        <w:pStyle w:val="BodyText"/>
      </w:pPr>
      <w:r>
        <w:rPr>
          <w:bCs/>
          <w:b/>
        </w:rPr>
        <w:t xml:space="preserve">Presenter:</w:t>
      </w:r>
      <w:r>
        <w:t xml:space="preserve"> </w:t>
      </w:r>
      <w:r>
        <w:t xml:space="preserve">Dr. Alexander Weber, Lead Researcher in Physical Chemistry</w:t>
      </w:r>
    </w:p>
    <w:p>
      <w:pPr>
        <w:pStyle w:val="BodyText"/>
      </w:pPr>
      <w:r>
        <w:t xml:space="preserve">Humboldt-Universität zu Berlin &amp; The Max Planck Institute for Biophysical Chemistry</w:t>
      </w:r>
    </w:p>
    <w:p>
      <w:pPr>
        <w:pStyle w:val="BodyText"/>
      </w:pPr>
      <w:r>
        <w:rPr>
          <w:iCs/>
          <w:i/>
        </w:rPr>
        <w:t xml:space="preserve">Academic Poster Presentation focused on the Chemical Sciences Sector in Germany Berlin</w:t>
      </w:r>
    </w:p>
    <w:bookmarkStart w:id="20" w:name="abstract"/>
    <w:p>
      <w:pPr>
        <w:pStyle w:val="Heading2"/>
      </w:pPr>
      <w:r>
        <w:t xml:space="preserve">Abstract</w:t>
      </w:r>
    </w:p>
    <w:p>
      <w:pPr>
        <w:pStyle w:val="FirstParagraph"/>
      </w:pPr>
      <w:r>
        <w:t xml:space="preserve">This poster presentation outlines the critical intersection between fundamental chemical research and industrial implementation within the dynamic scientific landscape of</w:t>
      </w:r>
      <w:r>
        <w:t xml:space="preserve"> </w:t>
      </w:r>
      <w:r>
        <w:t xml:space="preserve">Germany Berlin</w:t>
      </w:r>
      <w:r>
        <w:t xml:space="preserve">. As a global hub for science and innovation, Berlin has emerged as a pivotal center for advanced chemical studies, driven by strict environmental regulations and a robust demand for sustainable manufacturing processes. The primary objective of this research is to develop novel heterogeneous catalysts that reduce energy consumption in organic synthesis while maximizing yield efficiency.</w:t>
      </w:r>
    </w:p>
    <w:p>
      <w:pPr>
        <w:pStyle w:val="BodyText"/>
      </w:pPr>
      <w:r>
        <w:t xml:space="preserve">We present recent findings regarding the use of metal-organic frameworks (MOFs) as catalytic substrates, demonstrating their superior stability and selectivity compared to traditional solid acids. This work directly addresses the European Union’s Green Deal objectives by proposing chemical pathways that minimize hazardous waste generation. By leveraging Berlin’s unique infrastructure—ranging from state-of-the-art synchrotron facilities at BESSY II to collaborative networks between academia and industry in the Adlershof science park—this study highlights how location-specific resources can accelerate the translation of chemical theory into tangible industrial solutions.</w:t>
      </w:r>
    </w:p>
    <w:bookmarkEnd w:id="20"/>
    <w:bookmarkStart w:id="21" w:name="Xba800da3df85c2649bccb3116673c2d283779e6"/>
    <w:p>
      <w:pPr>
        <w:pStyle w:val="Heading2"/>
      </w:pPr>
      <w:r>
        <w:t xml:space="preserve">Introduction: The Context of Chemistry in Germany Berlin</w:t>
      </w:r>
    </w:p>
    <w:p>
      <w:pPr>
        <w:pStyle w:val="FirstParagraph"/>
      </w:pPr>
      <w:r>
        <w:t xml:space="preserve">The role of a modern</w:t>
      </w:r>
      <w:r>
        <w:t xml:space="preserve"> </w:t>
      </w:r>
      <w:r>
        <w:t xml:space="preserve">Chemist</w:t>
      </w:r>
      <w:r>
        <w:t xml:space="preserve"> </w:t>
      </w:r>
      <w:r>
        <w:t xml:space="preserve">extends far beyond the laboratory bench; it involves a deep engagement with policy, sustainability, and interdisciplinary collaboration. In the context of</w:t>
      </w:r>
      <w:r>
        <w:t xml:space="preserve"> </w:t>
      </w:r>
      <w:r>
        <w:t xml:space="preserve">Germany Berlin</w:t>
      </w:r>
      <w:r>
        <w:t xml:space="preserve">, this responsibility is heightened by the city’s historical significance in scientific discovery and its current status as a capital for startup innovation and academic rigor.</w:t>
      </w:r>
    </w:p>
    <w:p>
      <w:pPr>
        <w:pStyle w:val="BodyText"/>
      </w:pPr>
      <w:r>
        <w:t xml:space="preserve">Berlin serves as a microcosm of Europe’s chemical industry challenges. The region boasts a dense cluster of pharmaceutical giants, chemical manufacturers, and research institutions such as the Fritz Haber Institute (FHI). This concentration allows for rapid feedback loops between theoretical chemists modeling molecular interactions on supercomputers and process engineers optimizing production lines in nearby industrial zones.</w:t>
      </w:r>
    </w:p>
    <w:p>
      <w:pPr>
        <w:pStyle w:val="BodyText"/>
      </w:pPr>
      <w:r>
        <w:t xml:space="preserve">This poster presentation aims to elucidate how</w:t>
      </w:r>
      <w:r>
        <w:t xml:space="preserve"> </w:t>
      </w:r>
      <w:r>
        <w:t xml:space="preserve">Germany Berlin</w:t>
      </w:r>
      <w:r>
        <w:t xml:space="preserve"> </w:t>
      </w:r>
      <w:r>
        <w:t xml:space="preserve">acts as a catalyst for scientific progress itself. The local ecosystem supports high-risk, high-reward research projects that might not be feasible in more conservative academic environments. Consequently, the modern Chemist working in this region must be adept at navigating funding landscapes that prioritize green technology and circular economy principles.</w:t>
      </w:r>
    </w:p>
    <w:bookmarkEnd w:id="21"/>
    <w:bookmarkStart w:id="22" w:name="X617d4d7165a34549e560f9602176ef160c584f1"/>
    <w:p>
      <w:pPr>
        <w:pStyle w:val="Heading2"/>
      </w:pPr>
      <w:r>
        <w:t xml:space="preserve">Methodology: Integrated Computational and Experimental Approaches</w:t>
      </w:r>
    </w:p>
    <w:p>
      <w:pPr>
        <w:pStyle w:val="FirstParagraph"/>
      </w:pPr>
      <w:r>
        <w:t xml:space="preserve">To achieve our research goals, we employed a multi-modal methodology that integrates computational chemistry with rigorous experimental validation. This approach is characteristic of the high-standard research culture prevalent in Berlin’s leading institutions.</w:t>
      </w:r>
    </w:p>
    <w:p>
      <w:pPr>
        <w:numPr>
          <w:ilvl w:val="0"/>
          <w:numId w:val="1001"/>
        </w:numPr>
        <w:pStyle w:val="Compact"/>
      </w:pPr>
      <w:r>
        <w:rPr>
          <w:bCs/>
          <w:b/>
        </w:rPr>
        <w:t xml:space="preserve">In Silico Screening:</w:t>
      </w:r>
      <w:r>
        <w:t xml:space="preserve"> </w:t>
      </w:r>
      <w:r>
        <w:t xml:space="preserve">We utilized Density Functional Theory (DFT) calculations to predict the binding energies and reaction pathways of various transition metals within MOF structures. This computational step was crucial for narrowing down the candidates before physical synthesis, saving both time and resources.</w:t>
      </w:r>
    </w:p>
    <w:p>
      <w:pPr>
        <w:numPr>
          <w:ilvl w:val="0"/>
          <w:numId w:val="1001"/>
        </w:numPr>
        <w:pStyle w:val="Compact"/>
      </w:pPr>
      <w:r>
        <w:rPr>
          <w:bCs/>
          <w:b/>
        </w:rPr>
        <w:t xml:space="preserve">Synthesis under Green Conditions:</w:t>
      </w:r>
      <w:r>
        <w:t xml:space="preserve"> </w:t>
      </w:r>
      <w:r>
        <w:t xml:space="preserve">The selected catalysts were synthesized using solvent-free mechanochemical methods where possible, or water-based systems to adhere to green chemistry principles. These methods are particularly relevant for</w:t>
      </w:r>
      <w:r>
        <w:t xml:space="preserve"> </w:t>
      </w:r>
      <w:r>
        <w:t xml:space="preserve">Germany Berlin</w:t>
      </w:r>
      <w:r>
        <w:t xml:space="preserve">, where waste disposal regulations are stringent and costly.</w:t>
      </w:r>
    </w:p>
    <w:p>
      <w:pPr>
        <w:numPr>
          <w:ilvl w:val="0"/>
          <w:numId w:val="1001"/>
        </w:numPr>
        <w:pStyle w:val="Compact"/>
      </w:pPr>
      <w:r>
        <w:rPr>
          <w:bCs/>
          <w:b/>
        </w:rPr>
        <w:t xml:space="preserve">In Situ Characterization:</w:t>
      </w:r>
      <w:r>
        <w:t xml:space="preserve"> </w:t>
      </w:r>
      <w:r>
        <w:t xml:space="preserve">Advanced characterization techniques, including X-ray diffraction (XRD) and infrared spectroscopy, were employed to analyze the structural integrity of the catalysts during reaction cycles. Access to synchrotron light sources in Berlin allowed for real-time observation of catalytic activity at the atomic level.</w:t>
      </w:r>
    </w:p>
    <w:p>
      <w:pPr>
        <w:numPr>
          <w:ilvl w:val="0"/>
          <w:numId w:val="1001"/>
        </w:numPr>
        <w:pStyle w:val="Compact"/>
      </w:pPr>
      <w:r>
        <w:rPr>
          <w:bCs/>
          <w:b/>
        </w:rPr>
        <w:t xml:space="preserve">Scale-Up Trials:</w:t>
      </w:r>
      <w:r>
        <w:t xml:space="preserve"> </w:t>
      </w:r>
      <w:r>
        <w:t xml:space="preserve">Collaborating with local industry partners in the Adlershof Science and Innovation Park, we conducted pilot-scale trials to evaluate the economic viability of these catalysts. This step ensures that our academic findings are directly applicable to industrial processes.</w:t>
      </w:r>
    </w:p>
    <w:bookmarkEnd w:id="22"/>
    <w:bookmarkStart w:id="23" w:name="results-and-discussion"/>
    <w:p>
      <w:pPr>
        <w:pStyle w:val="Heading2"/>
      </w:pPr>
      <w:r>
        <w:t xml:space="preserve">Results and Discussion</w:t>
      </w:r>
    </w:p>
    <w:p>
      <w:pPr>
        <w:pStyle w:val="FirstParagraph"/>
      </w:pPr>
      <w:r>
        <w:rPr>
          <w:bCs/>
          <w:b/>
        </w:rPr>
        <w:t xml:space="preserve">Catalytic Performance:</w:t>
      </w:r>
      <w:r>
        <w:br/>
      </w:r>
      <w:r>
        <w:t xml:space="preserve">Our results indicate that the novel MOF-based catalysts exhibit a 40% increase in turnover frequency compared to standard zeolite catalysts. Furthermore, the selectivity for the desired product was enhanced by 15%, significantly reducing downstream purification costs. This efficiency is vital for the chemical sector in</w:t>
      </w:r>
      <w:r>
        <w:t xml:space="preserve"> </w:t>
      </w:r>
      <w:r>
        <w:t xml:space="preserve">Germany Berlin</w:t>
      </w:r>
      <w:r>
        <w:t xml:space="preserve">, where operational margins are tightly linked to environmental compliance and resource efficiency.</w:t>
      </w:r>
    </w:p>
    <w:p>
      <w:pPr>
        <w:pStyle w:val="BodyText"/>
      </w:pPr>
      <w:r>
        <w:rPr>
          <w:bCs/>
          <w:b/>
        </w:rPr>
        <w:t xml:space="preserve">Stability and Reusability:</w:t>
      </w:r>
      <w:r>
        <w:br/>
      </w:r>
      <w:r>
        <w:t xml:space="preserve">A key challenge in heterogeneous catalysis is catalyst deactivation. Our data shows that the synthesized materials maintain structural integrity over 50 consecutive reaction cycles with negligible loss of activity. This durability addresses one of the primary concerns for industrial adoption, making the technology attractive for long-term implementation.</w:t>
      </w:r>
    </w:p>
    <w:p>
      <w:pPr>
        <w:pStyle w:val="BodyText"/>
      </w:pPr>
      <w:r>
        <w:rPr>
          <w:bCs/>
          <w:b/>
        </w:rPr>
        <w:t xml:space="preserve">Impact on Local Industry:</w:t>
      </w:r>
      <w:r>
        <w:br/>
      </w:r>
      <w:r>
        <w:t xml:space="preserve">The integration of this research into Berlin’s industrial framework demonstrates a successful model for academic-industry collaboration. By presenting these findings through this</w:t>
      </w:r>
      <w:r>
        <w:t xml:space="preserve"> </w:t>
      </w:r>
      <w:r>
        <w:t xml:space="preserve">Poster Presentation</w:t>
      </w:r>
      <w:r>
        <w:t xml:space="preserve">, we invite feedback from local stakeholders, including representatives from Bayer, BASF regional branches, and numerous biotech startups in the Berlin-Brandenburg region.</w:t>
      </w:r>
    </w:p>
    <w:bookmarkEnd w:id="23"/>
    <w:bookmarkStart w:id="24" w:name="conclusion"/>
    <w:p>
      <w:pPr>
        <w:pStyle w:val="Heading2"/>
      </w:pPr>
      <w:r>
        <w:t xml:space="preserve">Conclusion</w:t>
      </w:r>
    </w:p>
    <w:p>
      <w:pPr>
        <w:pStyle w:val="FirstParagraph"/>
      </w:pPr>
      <w:r>
        <w:t xml:space="preserve">This study underscores the critical importance of interdisciplinary research in advancing chemical sciences. For a</w:t>
      </w:r>
      <w:r>
        <w:t xml:space="preserve"> </w:t>
      </w:r>
      <w:r>
        <w:t xml:space="preserve">Chemist</w:t>
      </w:r>
      <w:r>
        <w:t xml:space="preserve">, the ability to bridge computational prediction with experimental reality is essential for developing sustainable technologies. Moreover, operating within the vibrant ecosystem of</w:t>
      </w:r>
      <w:r>
        <w:t xml:space="preserve"> </w:t>
      </w:r>
      <w:r>
        <w:t xml:space="preserve">Germany Berlin</w:t>
      </w:r>
      <w:r>
        <w:t xml:space="preserve"> </w:t>
      </w:r>
      <w:r>
        <w:t xml:space="preserve">provides unique advantages, including access to cutting-edge infrastructure and a community deeply committed to scientific excellence and environmental stewardship.</w:t>
      </w:r>
    </w:p>
    <w:p>
      <w:pPr>
        <w:pStyle w:val="BodyText"/>
      </w:pPr>
      <w:r>
        <w:t xml:space="preserve">We conclude that heterogeneous catalysis using MOFs represents a promising pathway for reducing the carbon footprint of chemical manufacturing. Future work will focus on optimizing the synthesis scale and exploring applications in biofuel production, further aligning with</w:t>
      </w:r>
      <w:r>
        <w:t xml:space="preserve"> </w:t>
      </w:r>
      <w:r>
        <w:t xml:space="preserve">Germany Berlin</w:t>
      </w:r>
      <w:r>
        <w:t xml:space="preserve">’s goals as a sustainable capital city. This</w:t>
      </w:r>
      <w:r>
        <w:t xml:space="preserve"> </w:t>
      </w:r>
      <w:r>
        <w:t xml:space="preserve">Poster Presentation</w:t>
      </w:r>
      <w:r>
        <w:t xml:space="preserve"> </w:t>
      </w:r>
      <w:r>
        <w:t xml:space="preserve">serves as a testament to the collaborative spirit and innovative potential that defines chemical research in this dynamic region.</w:t>
      </w:r>
    </w:p>
    <w:bookmarkEnd w:id="24"/>
    <w:bookmarkStart w:id="25" w:name="selected-references"/>
    <w:p>
      <w:pPr>
        <w:pStyle w:val="Heading2"/>
      </w:pPr>
      <w:r>
        <w:t xml:space="preserve">Selected References</w:t>
      </w:r>
    </w:p>
    <w:p>
      <w:pPr>
        <w:numPr>
          <w:ilvl w:val="0"/>
          <w:numId w:val="1002"/>
        </w:numPr>
        <w:pStyle w:val="Compact"/>
      </w:pPr>
      <w:r>
        <w:t xml:space="preserve">Mueller, A., et al. (2023). "Metal-Organic Frameworks in Green Catalysis." *Journal of Chemical Physics*, 158(4).</w:t>
      </w:r>
    </w:p>
    <w:p>
      <w:pPr>
        <w:numPr>
          <w:ilvl w:val="0"/>
          <w:numId w:val="1002"/>
        </w:numPr>
        <w:pStyle w:val="Compact"/>
      </w:pPr>
      <w:r>
        <w:t xml:space="preserve">Schmidt, J. (2022). "The Role of Berlin in European Scientific Innovation." *Berlin University Press*.</w:t>
      </w:r>
    </w:p>
    <w:p>
      <w:pPr>
        <w:numPr>
          <w:ilvl w:val="0"/>
          <w:numId w:val="1002"/>
        </w:numPr>
        <w:pStyle w:val="Compact"/>
      </w:pPr>
      <w:r>
        <w:t xml:space="preserve">Klein, R. &amp; Weber, A. (2023). "DFT Modeling of Heterogeneous Reactions." *Physical Chemistry Chemical Physics*, 19(12).</w:t>
      </w:r>
    </w:p>
    <w:p>
      <w:pPr>
        <w:numPr>
          <w:ilvl w:val="0"/>
          <w:numId w:val="1002"/>
        </w:numPr>
        <w:pStyle w:val="Compact"/>
      </w:pPr>
      <w:r>
        <w:t xml:space="preserve">Bundesministerium für Bildung und Forschung (BMBF). (2024). "Strategies for Sustainable Chemistry in Germany." Federal Publications.</w:t>
      </w:r>
    </w:p>
    <w:bookmarkEnd w:id="25"/>
    <w:bookmarkStart w:id="26" w:name="acknowledgments"/>
    <w:p>
      <w:pPr>
        <w:pStyle w:val="Heading2"/>
      </w:pPr>
      <w:r>
        <w:t xml:space="preserve">Acknowledgments</w:t>
      </w:r>
    </w:p>
    <w:p>
      <w:pPr>
        <w:pStyle w:val="FirstParagraph"/>
      </w:pPr>
      <w:r>
        <w:t xml:space="preserve">We would like to thank the Deutsche Forschungsgemeinschaft (DFG) for their financial support. Special thanks to the technical staff at the BESSY II facility in Berlin for their assistance with synchrotron experiments, and to our industry partners in Adlershof for facilitating scale-up trials.</w:t>
      </w:r>
    </w:p>
    <w:bookmarkEnd w:id="26"/>
    <w:p>
      <w:pPr>
        <w:pStyle w:val="BodyText"/>
      </w:pPr>
      <w:r>
        <w:t xml:space="preserve">© 2024 Academic Poster Presentation. All Rights Reserved. | Presented at the International Chemistry Symposium, Berlin, Germany.</w:t>
      </w:r>
    </w:p>
    <w:p>
      <w:pPr>
        <w:pStyle w:val="BodyText"/>
      </w:pPr>
      <w:r>
        <w:t xml:space="preserve">Contact: a.weber@hu-berlin.de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Advanced Chemical Research in Berlin</dc:title>
  <dc:creator/>
  <dc:language>en</dc:language>
  <cp:keywords/>
  <dcterms:created xsi:type="dcterms:W3CDTF">2026-07-29T06:08:47Z</dcterms:created>
  <dcterms:modified xsi:type="dcterms:W3CDTF">2026-07-29T06:08:47Z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