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Catalytic</w:t>
      </w:r>
      <w:r>
        <w:t xml:space="preserve"> </w:t>
      </w:r>
      <w:r>
        <w:t xml:space="preserve">Processes</w:t>
      </w:r>
      <w:r>
        <w:t xml:space="preserve"> </w:t>
      </w:r>
      <w:r>
        <w:t xml:space="preserve">in</w:t>
      </w:r>
      <w:r>
        <w:t xml:space="preserve"> </w:t>
      </w:r>
      <w:r>
        <w:t xml:space="preserve">Green</w:t>
      </w:r>
      <w:r>
        <w:t xml:space="preserve"> </w:t>
      </w:r>
      <w:r>
        <w:t xml:space="preserve">Chemistry</w:t>
      </w:r>
    </w:p>
    <w:bookmarkStart w:id="27" w:name="Xed8db7255bf3fa38b6260fceb49abe082335f1d"/>
    <w:p>
      <w:pPr>
        <w:pStyle w:val="Heading1"/>
      </w:pPr>
      <w:r>
        <w:t xml:space="preserve">Bridging Tradition and Innovation: The Role of the Modern Chemist in Frankfurt’s Industrial Landscape</w:t>
      </w:r>
    </w:p>
    <w:p>
      <w:pPr>
        <w:pStyle w:val="FirstParagraph"/>
      </w:pPr>
      <w:r>
        <w:rPr>
          <w:bCs/>
          <w:b/>
        </w:rPr>
        <w:t xml:space="preserve">Presentation Title:</w:t>
      </w:r>
      <w:r>
        <w:br/>
      </w:r>
      <w:r>
        <w:rPr>
          <w:iCs/>
          <w:i/>
        </w:rPr>
        <w:t xml:space="preserve">Sustainable Synthesis Pathways: Integrating Computational Modeling with Experimental Validation for Green Manufacturing</w:t>
      </w:r>
      <w:r>
        <w:br/>
      </w:r>
      <w:r>
        <w:br/>
      </w:r>
      <w:r>
        <w:rPr>
          <w:bCs/>
          <w:b/>
        </w:rPr>
        <w:t xml:space="preserve">Affiliation:</w:t>
      </w:r>
      <w:r>
        <w:br/>
      </w:r>
      <w:r>
        <w:t xml:space="preserve">Department of Chemical Engineering, Technical University of Munich (TUM), Germany. In collaboration with the Max Planck Institute for Polymer Research.</w:t>
      </w:r>
      <w:r>
        <w:br/>
      </w:r>
      <w:r>
        <w:br/>
      </w:r>
      <w:r>
        <w:rPr>
          <w:bCs/>
          <w:b/>
        </w:rPr>
        <w:t xml:space="preserve">Event Context:</w:t>
      </w:r>
      <w:r>
        <w:br/>
      </w:r>
      <w:r>
        <w:t xml:space="preserve">Presented at the International Chemistry Symposium, Frankfurt Messe Exhibition Center, Germany Frankfurt. This</w:t>
      </w:r>
      <w:r>
        <w:t xml:space="preserve"> </w:t>
      </w:r>
      <w:r>
        <w:rPr>
          <w:bCs/>
          <w:b/>
        </w:rPr>
        <w:t xml:space="preserve">Poster Presentation academic</w:t>
      </w:r>
      <w:r>
        <w:t xml:space="preserve"> </w:t>
      </w:r>
      <w:r>
        <w:t xml:space="preserve">forum serves as a critical nexus for industry leaders and researchers to discuss cutting-edge developments in chemical sciences.</w:t>
      </w:r>
    </w:p>
    <w:bookmarkStart w:id="20" w:name="abstract"/>
    <w:p>
      <w:pPr>
        <w:pStyle w:val="Heading2"/>
      </w:pPr>
      <w:r>
        <w:t xml:space="preserve">Abstract</w:t>
      </w:r>
    </w:p>
    <w:p>
      <w:pPr>
        <w:pStyle w:val="FirstParagraph"/>
      </w:pPr>
      <w:r>
        <w:rPr>
          <w:bCs/>
          <w:b/>
        </w:rPr>
        <w:t xml:space="preserve">This abstract is submitted for the Poster Presentation academic track.</w:t>
      </w:r>
    </w:p>
    <w:p>
      <w:pPr>
        <w:pStyle w:val="BodyText"/>
      </w:pPr>
      <w:r>
        <w:t xml:space="preserve">Frankfurt, situated on the banks of the Main river, has historically been a pivotal hub for chemical manufacturing in Europe. As global standards shift toward sustainability and circular economy principles, the role of the modern</w:t>
      </w:r>
      <w:r>
        <w:t xml:space="preserve"> </w:t>
      </w:r>
      <w:r>
        <w:rPr>
          <w:bCs/>
          <w:b/>
        </w:rPr>
        <w:t xml:space="preserve">Chemist</w:t>
      </w:r>
      <w:r>
        <w:t xml:space="preserve"> </w:t>
      </w:r>
      <w:r>
        <w:t xml:space="preserve">has evolved from purely synthetic exploration to interdisciplinary problem-solving involving data science, environmental stewardship, and process engineering. This poster presents a comprehensive case study on the development of novel catalytic processes that reduce energy consumption by 35% while maintaining high yield in pharmaceutical intermediate production.</w:t>
      </w:r>
    </w:p>
    <w:p>
      <w:pPr>
        <w:pStyle w:val="BodyText"/>
      </w:pPr>
      <w:r>
        <w:t xml:space="preserve">The study leverages the unique ecosystem of Germany Frankfurt, which hosts major chemical corporations such as BASF’s logistics hubs and numerous biotechnology startups. By utilizing machine learning algorithms to predict catalyst efficiency, we have accelerated the discovery phase of green solvents. This presentation details the methodology, results, and implications for industrial application within the European regulatory framework.</w:t>
      </w:r>
    </w:p>
    <w:bookmarkEnd w:id="20"/>
    <w:bookmarkStart w:id="21" w:name="Xaa1e4114d44e947d6b60e49c24966db34e86c8e"/>
    <w:p>
      <w:pPr>
        <w:pStyle w:val="Heading2"/>
      </w:pPr>
      <w:r>
        <w:t xml:space="preserve">Background: The Frankfurt Chemical Ecosystem</w:t>
      </w:r>
    </w:p>
    <w:p>
      <w:pPr>
        <w:pStyle w:val="FirstParagraph"/>
      </w:pPr>
      <w:r>
        <w:t xml:space="preserve">The choice of venue is significant. Germany Frankfurt represents not just a geographical location but an economic powerhouse in the chemical sector. The region is home to one of the largest airports in Europe, facilitating rapid global logistics for hazardous materials, and serves as a central node for financial investment into green tech startups.</w:t>
      </w:r>
    </w:p>
    <w:p>
      <w:pPr>
        <w:pStyle w:val="BodyText"/>
      </w:pPr>
      <w:r>
        <w:t xml:space="preserve">In this context, the traditional image of the</w:t>
      </w:r>
      <w:r>
        <w:t xml:space="preserve"> </w:t>
      </w:r>
      <w:r>
        <w:rPr>
          <w:bCs/>
          <w:b/>
        </w:rPr>
        <w:t xml:space="preserve">Chemist</w:t>
      </w:r>
      <w:r>
        <w:t xml:space="preserve">—working alone with flasks in a laboratory—is outdated. Today’s chemists must collaborate with engineers, economists, and policy makers. The academic poster presentation format allows for deep-dive discussions on these interdisciplinary challenges. It provides a platform where theoretical advancements can be immediately critiqued by industry veterans who understand the practical constraints of scaling up reactions.</w:t>
      </w:r>
    </w:p>
    <w:p>
      <w:pPr>
        <w:pStyle w:val="BodyText"/>
      </w:pPr>
      <w:r>
        <w:t xml:space="preserve">The significance of presenting this work in Germany Frankfurt cannot be overstated. The local regulatory environment is stringent, adhering to REACH (Registration, Evaluation, Authorization and Restriction of Chemicals) regulations. Therefore, any new chemical process proposed must demonstrate compliance not only with environmental standards but also with safety protocols that are among the strictest in the world. This poster highlights how our methodology inherently complies with these regulations by minimizing waste generation at the molecular level.</w:t>
      </w:r>
    </w:p>
    <w:bookmarkEnd w:id="21"/>
    <w:bookmarkStart w:id="22" w:name="methodological-framework"/>
    <w:p>
      <w:pPr>
        <w:pStyle w:val="Heading2"/>
      </w:pPr>
      <w:r>
        <w:t xml:space="preserve">Methodological Framework</w:t>
      </w:r>
    </w:p>
    <w:p>
      <w:pPr>
        <w:pStyle w:val="FirstParagraph"/>
      </w:pPr>
      <w:r>
        <w:t xml:space="preserve">The research described here follows a hybrid approach, combining high-throughput experimental screening with computational chemistry. The workflow is divided into three distinct phases:</w:t>
      </w:r>
    </w:p>
    <w:p>
      <w:pPr>
        <w:numPr>
          <w:ilvl w:val="0"/>
          <w:numId w:val="1001"/>
        </w:numPr>
        <w:pStyle w:val="Compact"/>
      </w:pPr>
      <w:r>
        <w:rPr>
          <w:bCs/>
          <w:b/>
        </w:rPr>
        <w:t xml:space="preserve">Data Acquisition and Preprocessing:</w:t>
      </w:r>
      <w:r>
        <w:t xml:space="preserve"> </w:t>
      </w:r>
      <w:r>
        <w:t xml:space="preserve">We aggregated data from over 50,000 known catalytic reactions from public databases. This dataset was curated by a team of expert chemists to ensure quality control.</w:t>
      </w:r>
    </w:p>
    <w:p>
      <w:pPr>
        <w:numPr>
          <w:ilvl w:val="0"/>
          <w:numId w:val="1001"/>
        </w:numPr>
        <w:pStyle w:val="Compact"/>
      </w:pPr>
      <w:r>
        <w:rPr>
          <w:bCs/>
          <w:b/>
        </w:rPr>
        <w:t xml:space="preserve">Machine Learning Model Training:</w:t>
      </w:r>
      <w:r>
        <w:t xml:space="preserve"> </w:t>
      </w:r>
      <w:r>
        <w:t xml:space="preserve">Using neural networks, we trained models to predict the turnover frequency (TOF) of potential catalysts. The model was validated using cross-validation techniques to prevent overfitting.</w:t>
      </w:r>
    </w:p>
    <w:p>
      <w:pPr>
        <w:numPr>
          <w:ilvl w:val="0"/>
          <w:numId w:val="1001"/>
        </w:numPr>
        <w:pStyle w:val="Compact"/>
      </w:pPr>
      <w:r>
        <w:rPr>
          <w:bCs/>
          <w:b/>
        </w:rPr>
        <w:t xml:space="preserve">Experimental Validation:</w:t>
      </w:r>
      <w:r>
        <w:t xml:space="preserve"> </w:t>
      </w:r>
      <w:r>
        <w:t xml:space="preserve">Promising candidates identified by the model were synthesized and tested in continuous flow reactors located at our partner facilities near Germany Frankfurt. This proximity allowed for rapid iteration between computational prediction and physical testing.</w:t>
      </w:r>
    </w:p>
    <w:bookmarkEnd w:id="22"/>
    <w:bookmarkStart w:id="23" w:name="key-findings"/>
    <w:p>
      <w:pPr>
        <w:pStyle w:val="Heading2"/>
      </w:pPr>
      <w:r>
        <w:t xml:space="preserve">Key Findings</w:t>
      </w:r>
    </w:p>
    <w:p>
      <w:pPr>
        <w:pStyle w:val="FirstParagraph"/>
      </w:pPr>
      <w:r>
        <w:t xml:space="preserve">The results indicate a significant improvement in catalytic efficiency compared to traditional batch processing methods. Specifically, the new catalyst system demonstrated:</w:t>
      </w:r>
    </w:p>
    <w:p>
      <w:pPr>
        <w:numPr>
          <w:ilvl w:val="0"/>
          <w:numId w:val="1002"/>
        </w:numPr>
        <w:pStyle w:val="Compact"/>
      </w:pPr>
      <w:r>
        <w:t xml:space="preserve">A 40% reduction in reaction time.</w:t>
      </w:r>
    </w:p>
    <w:p>
      <w:pPr>
        <w:numPr>
          <w:ilvl w:val="0"/>
          <w:numId w:val="1002"/>
        </w:numPr>
        <w:pStyle w:val="Compact"/>
      </w:pPr>
      <w:r>
        <w:t xml:space="preserve">A 25% decrease in solvent usage.</w:t>
      </w:r>
    </w:p>
    <w:p>
      <w:pPr>
        <w:numPr>
          <w:ilvl w:val="0"/>
          <w:numId w:val="1002"/>
        </w:numPr>
        <w:pStyle w:val="Compact"/>
      </w:pPr>
      <w:r>
        <w:t xml:space="preserve">Zero emission of volatile organic compounds (VOCs) during the pilot phase.</w:t>
      </w:r>
    </w:p>
    <w:p>
      <w:pPr>
        <w:pStyle w:val="FirstParagraph"/>
      </w:pPr>
      <w:r>
        <w:rPr>
          <w:bCs/>
          <w:b/>
        </w:rPr>
        <w:t xml:space="preserve">Note for Poster Viewers:</w:t>
      </w:r>
    </w:p>
    <w:bookmarkEnd w:id="23"/>
    <w:bookmarkStart w:id="24" w:name="discussion"/>
    <w:p>
      <w:pPr>
        <w:pStyle w:val="Heading2"/>
      </w:pPr>
      <w:r>
        <w:t xml:space="preserve">Discussion</w:t>
      </w:r>
    </w:p>
    <w:p>
      <w:pPr>
        <w:pStyle w:val="FirstParagraph"/>
      </w:pPr>
      <w:r>
        <w:t xml:space="preserve">These findings have profound implications for the chemical industry. By reducing reaction times and solvent usage, companies can significantly lower their operational costs and environmental footprint. Furthermore, the integration of machine learning allows for a "digital twin" approach to process development, where virtual simulations predict outcomes before physical experiments are conducted.</w:t>
      </w:r>
    </w:p>
    <w:p>
      <w:pPr>
        <w:pStyle w:val="BodyText"/>
      </w:pPr>
      <w:r>
        <w:t xml:space="preserve">However, challenges remain. The initial cost of implementing such advanced computational infrastructure is high. Additionally, there is a skills gap in the workforce; few traditional chemists are trained in data science. This highlights the need for updated curricula in chemistry departments across Germany Frankfurt and Europe at large to prepare the next generation of scientists.</w:t>
      </w:r>
    </w:p>
    <w:p>
      <w:pPr>
        <w:pStyle w:val="BodyText"/>
      </w:pPr>
      <w:r>
        <w:t xml:space="preserve">The collaboration between academia and industry, facilitated by events like this Poster Presentation academic conference, is crucial for bridging this gap. Industry partners provide real-world data and problems, while academic researchers offer innovative solutions. This symbiotic relationship is vital for maintaining Germany Frankfurt's position as a leader in sustainable chemical innovation.</w:t>
      </w:r>
    </w:p>
    <w:bookmarkEnd w:id="24"/>
    <w:bookmarkStart w:id="25" w:name="conclusion"/>
    <w:p>
      <w:pPr>
        <w:pStyle w:val="Heading2"/>
      </w:pPr>
      <w:r>
        <w:t xml:space="preserve">Conclusion</w:t>
      </w:r>
    </w:p>
    <w:p>
      <w:pPr>
        <w:pStyle w:val="FirstParagraph"/>
      </w:pPr>
      <w:r>
        <w:t xml:space="preserve">This poster presentation underscores the transformative potential of integrating computational tools with traditional chemical research. The modern chemist must embrace these technological advances to address the pressing challenges of sustainability and efficiency. By showcasing this work in Germany Frankfurt, we aim to stimulate dialogue among peers and industry leaders about the future direction of chemical manufacturing.</w:t>
      </w:r>
    </w:p>
    <w:p>
      <w:pPr>
        <w:pStyle w:val="BodyText"/>
      </w:pPr>
      <w:r>
        <w:t xml:space="preserve">We propose that funding agencies prioritize interdisciplinary projects that combine chemistry with data science. Furthermore, we urge academic institutions to partner more closely with local industries in the Frankfurt region to ensure that research remains relevant and applicable. The ultimate goal is a chemical industry that operates within planetary boundaries while driving economic growth.</w:t>
      </w:r>
    </w:p>
    <w:bookmarkEnd w:id="25"/>
    <w:bookmarkStart w:id="26" w:name="references"/>
    <w:p>
      <w:pPr>
        <w:pStyle w:val="Heading2"/>
      </w:pPr>
      <w:r>
        <w:t xml:space="preserve">References</w:t>
      </w:r>
    </w:p>
    <w:p>
      <w:pPr>
        <w:numPr>
          <w:ilvl w:val="0"/>
          <w:numId w:val="1003"/>
        </w:numPr>
        <w:pStyle w:val="Compact"/>
      </w:pPr>
      <w:r>
        <w:t xml:space="preserve">Schmidt, J., &amp; Müller, H. (2023). "Machine Learning in Catalysis: A Review." *Journal of Industrial Chemistry*, 45(3), 112-129.</w:t>
      </w:r>
    </w:p>
    <w:p>
      <w:pPr>
        <w:numPr>
          <w:ilvl w:val="0"/>
          <w:numId w:val="1003"/>
        </w:numPr>
        <w:pStyle w:val="Compact"/>
      </w:pPr>
      <w:r>
        <w:t xml:space="preserve">BASF SE. (2024). "Annual Report on Sustainable Production Methods." Ludwigshafen, Germany.</w:t>
      </w:r>
    </w:p>
    <w:p>
      <w:pPr>
        <w:numPr>
          <w:ilvl w:val="0"/>
          <w:numId w:val="1003"/>
        </w:numPr>
        <w:pStyle w:val="Compact"/>
      </w:pPr>
      <w:r>
        <w:t xml:space="preserve">European Chemicals Agency. (2023). "REACH Regulation Compliance Guidelines for Small Scale Producers." Helsinki, Finland.</w:t>
      </w:r>
    </w:p>
    <w:p>
      <w:pPr>
        <w:numPr>
          <w:ilvl w:val="0"/>
          <w:numId w:val="1003"/>
        </w:numPr>
        <w:pStyle w:val="Compact"/>
      </w:pPr>
      <w:r>
        <w:t xml:space="preserve">Fraser, K. (2024). "The Frankfurt Chemical Hub: Economic Impact and Future Prospects." *European Industrial Review*, 12(1),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Catalytic Processes in Green Chemistry</dc:title>
  <dc:creator/>
  <dc:language>en</dc:language>
  <cp:keywords/>
  <dcterms:created xsi:type="dcterms:W3CDTF">2026-07-29T12:40:02Z</dcterms:created>
  <dcterms:modified xsi:type="dcterms:W3CDTF">2026-07-29T12:40:02Z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