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Chemistry</w:t>
      </w:r>
      <w:r>
        <w:t xml:space="preserve"> </w:t>
      </w:r>
      <w:r>
        <w:t xml:space="preserve">in</w:t>
      </w:r>
      <w:r>
        <w:t xml:space="preserve"> </w:t>
      </w:r>
      <w:r>
        <w:t xml:space="preserve">Germany</w:t>
      </w:r>
      <w:r>
        <w:t xml:space="preserve"> </w:t>
      </w:r>
      <w:r>
        <w:t xml:space="preserve">Munich</w:t>
      </w:r>
    </w:p>
    <w:bookmarkStart w:id="27" w:name="X9ad6c79507022b4cf7666715e14d0ec8f55c32b"/>
    <w:p>
      <w:pPr>
        <w:pStyle w:val="Heading1"/>
      </w:pPr>
      <w:r>
        <w:t xml:space="preserve">Rethinking Synthesis and Catalysis in Modern Chemistry:</w:t>
      </w:r>
    </w:p>
    <w:p>
      <w:pPr>
        <w:pStyle w:val="FirstParagraph"/>
      </w:pPr>
      <w:r>
        <w:br/>
      </w:r>
    </w:p>
    <w:p>
      <w:pPr>
        <w:pStyle w:val="BodyText"/>
      </w:pPr>
      <w:r>
        <w:rPr>
          <w:bCs/>
          <w:b/>
        </w:rPr>
        <w:t xml:space="preserve">A Strategic Academic Poster Presentation for the Munich Scientific Community</w:t>
      </w:r>
    </w:p>
    <w:p>
      <w:pPr>
        <w:pStyle w:val="BodyText"/>
      </w:pPr>
      <w:r>
        <w:br/>
      </w:r>
    </w:p>
    <w:p>
      <w:pPr>
        <w:pStyle w:val="BodyText"/>
      </w:pPr>
      <w:r>
        <w:rPr>
          <w:iCs/>
          <w:i/>
        </w:rPr>
        <w:t xml:space="preserve">Prepared for Submission to International Conferences in Germany, Munich</w:t>
      </w:r>
    </w:p>
    <w:p>
      <w:pPr>
        <w:pStyle w:val="BodyText"/>
      </w:pPr>
      <w:r>
        <w:br/>
      </w:r>
      <w:r>
        <w:br/>
      </w:r>
    </w:p>
    <w:bookmarkStart w:id="20" w:name="introduction-and-contextual-relevance"/>
    <w:p>
      <w:pPr>
        <w:pStyle w:val="Heading2"/>
      </w:pPr>
      <w:r>
        <w:t xml:space="preserve">1. Introduction and Contextual Relevance</w:t>
      </w:r>
    </w:p>
    <w:p>
      <w:pPr>
        <w:pStyle w:val="FirstParagraph"/>
      </w:pPr>
      <w:r>
        <w:t xml:space="preserve">The field of academic chemistry is currently undergoing a paradigm shift, driven by the urgent need for sustainable manufacturing processes and novel material sciences. This poster presentation outline serves as a comprehensive guide for chemists planning to exhibit their research in Munich, Germany. Munich stands as one of Europe’s most prominent hubs for scientific innovation, housing world-class institutions such as the Technical University of Munich (TUM) and Ludwig-Maximilians-Universität München (LMU). Consequently, presenting at academic events in this city requires a high degree of precision, clarity, and adherence to rigorous scientific standards.</w:t>
      </w:r>
      <w:r>
        <w:t xml:space="preserve"> </w:t>
      </w:r>
      <w:r>
        <w:t xml:space="preserve">For any chemist aiming to engage with the local academic community in Germany Munich, it is imperative that the poster presentation academic document not only conveys complex data but also aligns with the cultural and professional expectations of German academia. The following sections detail how a chemist can structure their work to ensure maximum impact within this specific geographical and intellectual context.</w:t>
      </w:r>
    </w:p>
    <w:bookmarkEnd w:id="20"/>
    <w:bookmarkStart w:id="21" w:name="Xcd65a131333a90d2ed71dcb78ed841ef4cb4bf6"/>
    <w:p>
      <w:pPr>
        <w:pStyle w:val="Heading2"/>
      </w:pPr>
      <w:r>
        <w:t xml:space="preserve">2. Defining the Scope: The Role of the Chemist</w:t>
      </w:r>
    </w:p>
    <w:p>
      <w:pPr>
        <w:pStyle w:val="FirstParagraph"/>
      </w:pPr>
      <w:r>
        <w:t xml:space="preserve">In the landscape of modern research, a chemist is no longer just an experimenter in a laboratory; they are data analysts, sustainability advocates, and interdisciplinary collaborators. The poster presentation must reflect this multifaceted role. Whether specializing in organic synthesis, analytical chemistry, or chemical engineering, the chemist must demonstrate how their work contributes to broader scientific goals.</w:t>
      </w:r>
      <w:r>
        <w:t xml:space="preserve"> </w:t>
      </w:r>
      <w:r>
        <w:t xml:space="preserve">When drafting the content for a poster presentation academic project in Munich, one must first clearly define the research question. Is it focused on green chemistry principles? Are we developing new catalysts for energy storage? Or perhaps investigating novel polymer structures for medical applications? The identity of the chemist is deeply tied to their specific contribution to these fields. Therefore, the narrative of the poster should center on innovation and reproducibility. German academic institutions place a high premium on methodological rigor; thus, every claim made by the chemist must be backed by robust statistical analysis and peer-reviewed methodologies visible within the poster design.</w:t>
      </w:r>
    </w:p>
    <w:bookmarkEnd w:id="21"/>
    <w:bookmarkStart w:id="22" w:name="X0f082f7570ddc5691129321a7d57ce166217c57"/>
    <w:p>
      <w:pPr>
        <w:pStyle w:val="Heading2"/>
      </w:pPr>
      <w:r>
        <w:t xml:space="preserve">3. Structural Requirements for an Academic Poster Presentation</w:t>
      </w:r>
    </w:p>
    <w:p>
      <w:pPr>
        <w:pStyle w:val="FirstParagraph"/>
      </w:pPr>
      <w:r>
        <w:t xml:space="preserve">A successful poster presentation academic document follows a logical flow that guides the viewer through the scientific method without requiring extensive verbal explanation, though verbal discussion is expected during networking hours. The structure generally adheres to four key pillars:</w:t>
      </w:r>
      <w:r>
        <w:t xml:space="preserve"> </w:t>
      </w:r>
      <w:r>
        <w:rPr>
          <w:bCs/>
          <w:b/>
        </w:rPr>
        <w:t xml:space="preserve">a) Abstract and Objectives:</w:t>
      </w:r>
      <w:r>
        <w:t xml:space="preserve"> </w:t>
      </w:r>
      <w:r>
        <w:t xml:space="preserve">The top section of the poster must contain a concise abstract. This is critical for busy academics walking past the booth in Munich convention centers or university halls. It should clearly state the problem, the hypothesis, and the expected outcome. For a chemist, this means defining molecular interactions or reaction pathways succinctly.</w:t>
      </w:r>
      <w:r>
        <w:t xml:space="preserve"> </w:t>
      </w:r>
      <w:r>
        <w:rPr>
          <w:bCs/>
          <w:b/>
        </w:rPr>
        <w:t xml:space="preserve">b) Methodology:</w:t>
      </w:r>
      <w:r>
        <w:t xml:space="preserve"> </w:t>
      </w:r>
      <w:r>
        <w:t xml:space="preserve">This section details how experiments were conducted. In Germany, precision is paramount. The chemist must list specific instruments used (e.g., NMR spectrometers, Mass Spectrometry setups) and purification techniques. Transparency in methodology builds trust among peers who may wish to replicate the study later at institutions like TUM or LMU.</w:t>
      </w:r>
      <w:r>
        <w:t xml:space="preserve"> </w:t>
      </w:r>
      <w:r>
        <w:rPr>
          <w:bCs/>
          <w:b/>
        </w:rPr>
        <w:t xml:space="preserve">c) Results and Discussion:</w:t>
      </w:r>
      <w:r>
        <w:t xml:space="preserve"> </w:t>
      </w:r>
      <w:r>
        <w:t xml:space="preserve">This is the visual core of the poster presentation academic document. High-resolution graphs, spectral data images, and molecular models are essential. The chemist should avoid cluttered text walls; instead, use bullet points to highlight key findings. Visualizing chemical reactions step-by-step helps non-specialists understand the complexity while satisfying specialists with detailed mechanistic insights.</w:t>
      </w:r>
      <w:r>
        <w:t xml:space="preserve"> </w:t>
      </w:r>
      <w:r>
        <w:rPr>
          <w:bCs/>
          <w:b/>
        </w:rPr>
        <w:t xml:space="preserve">d) Conclusion and Future Directions:</w:t>
      </w:r>
      <w:r>
        <w:t xml:space="preserve"> </w:t>
      </w:r>
      <w:r>
        <w:t xml:space="preserve">Conclude by summarizing the significance of the findings for the field of chemistry. Furthermore, suggest potential applications or future research questions. This invites collaboration, a key aspect of academic networking in Munich’s tight-knit scientific community.</w:t>
      </w:r>
    </w:p>
    <w:bookmarkEnd w:id="22"/>
    <w:bookmarkStart w:id="23" w:name="Xf4108f043afd7d08a0f3a275d92b18b896c480c"/>
    <w:p>
      <w:pPr>
        <w:pStyle w:val="Heading2"/>
      </w:pPr>
      <w:r>
        <w:t xml:space="preserve">4. Adapting to the German Context: Cultural and Professional Nuances</w:t>
      </w:r>
    </w:p>
    <w:p>
      <w:pPr>
        <w:pStyle w:val="FirstParagraph"/>
      </w:pPr>
      <w:r>
        <w:t xml:space="preserve">Understanding the local context is vital for any chemist planning a poster presentation academic event in Germany Munich. The German academic culture values directness, efficiency, and depth of knowledge. When designing your poster presentation academic layout, avoid overly decorative or flashy designs that may be perceived as lacking substance. A clean, minimalist aesthetic with high contrast (such as black text on a white background) is preferred and ensures readability from a distance in large exhibition halls common in Munich venues like the Messe München (Munich Trade Fair).</w:t>
      </w:r>
      <w:r>
        <w:t xml:space="preserve"> </w:t>
      </w:r>
      <w:r>
        <w:t xml:space="preserve">Furthermore, language plays a crucial role. While many academic events in Germany are conducted in English to accommodate international researchers, displaying key headings or contact information with German translations can demonstrate respect for the local culture and facilitate engagement with domestic collaborators. However, the primary scientific content must remain in flawless English to maintain international credibility.</w:t>
      </w:r>
      <w:r>
        <w:t xml:space="preserve"> </w:t>
      </w:r>
      <w:r>
        <w:t xml:space="preserve">The chemist should also be prepared for detailed questioning during the poster session. German academics are known for their critical analysis skills; they will likely probe deep into error margins, control variables, and theoretical underpinnings of chemical reactions. Therefore, the poster presentation academic document should leave no ambiguity that could lead to misinterpretation of experimental conditions.</w:t>
      </w:r>
    </w:p>
    <w:bookmarkEnd w:id="23"/>
    <w:bookmarkStart w:id="24" w:name="visual-design-and-data-representation"/>
    <w:p>
      <w:pPr>
        <w:pStyle w:val="Heading2"/>
      </w:pPr>
      <w:r>
        <w:t xml:space="preserve">5. Visual Design and Data Representation</w:t>
      </w:r>
    </w:p>
    <w:p>
      <w:pPr>
        <w:pStyle w:val="FirstParagraph"/>
      </w:pPr>
      <w:r>
        <w:t xml:space="preserve">As a chemist presenting in Munich, visual clarity is non-negotiable. The poster presentation academic format allows for limited space; thus, every graphic must earn its place. Use standard chemical drawing tools (like ChemDraw) to ensure all structural formulas are accurate and properly labeled according to IUPAC standards. Avoid 3D renderings unless they provide critical insight into stereochemistry or molecular docking interactions that cannot be conveyed through 2D representations.</w:t>
      </w:r>
      <w:r>
        <w:t xml:space="preserve"> </w:t>
      </w:r>
      <w:r>
        <w:t xml:space="preserve">Color coding should be used consistently across graphs—for example, using distinct colors for different experimental conditions or datasets—and these colors must remain distinguishable in black-and-white prints, as some conference materials are printed in grayscale for sustainability reasons. This attention to detail reflects the meticulous nature expected of a chemist in a rigorous academic environment like those found in Germany Munich.</w:t>
      </w:r>
    </w:p>
    <w:bookmarkEnd w:id="24"/>
    <w:bookmarkStart w:id="25" w:name="networking-and-engagement-strategy"/>
    <w:p>
      <w:pPr>
        <w:pStyle w:val="Heading2"/>
      </w:pPr>
      <w:r>
        <w:t xml:space="preserve">6. Networking and Engagement Strategy</w:t>
      </w:r>
    </w:p>
    <w:p>
      <w:pPr>
        <w:pStyle w:val="FirstParagraph"/>
      </w:pPr>
      <w:r>
        <w:t xml:space="preserve">Finally, the purpose of a poster presentation academic event is not merely display but dialogue. The chemist should prepare an "elevator pitch" that summarizes their work in 30 seconds to one minute, suitable for initial conversations with other researchers visiting the poster. In Munich’s vibrant scientific ecosystem, connections made at these events can lead to joint research grants or industry partnerships.</w:t>
      </w:r>
      <w:r>
        <w:t xml:space="preserve"> </w:t>
      </w:r>
      <w:r>
        <w:t xml:space="preserve">It is advisable to bring business cards and digital copies of the full paper or supplementary materials on a tablet or QR code linked in the poster presentation academic layout. Engaging actively with questions shows confidence and expertise, reinforcing your position as a credible chemist within the international community.</w:t>
      </w:r>
    </w:p>
    <w:bookmarkEnd w:id="25"/>
    <w:bookmarkStart w:id="26" w:name="conclusion"/>
    <w:p>
      <w:pPr>
        <w:pStyle w:val="Heading2"/>
      </w:pPr>
      <w:r>
        <w:t xml:space="preserve">7. Conclusion</w:t>
      </w:r>
    </w:p>
    <w:p>
      <w:pPr>
        <w:pStyle w:val="FirstParagraph"/>
      </w:pPr>
      <w:r>
        <w:t xml:space="preserve">In summary, creating an effective poster presentation academic document for a chemist exhibiting in Germany Munich requires a blend of scientific rigor, clear visual communication, and cultural awareness. By focusing on methodological transparency, clean design aesthetics appropriate for German standards, and proactive engagement strategies, the chemist can effectively showcase their research. This approach ensures that the work receives the serious consideration it deserves within one of Europe's leading academic centers for science and technology. The integration of these elements will not only enhance understanding but also foster meaningful professional relationships in Munich’s dynamic scientific landscape.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Chemistry in Germany Munich</dc:title>
  <dc:creator/>
  <dc:language>en</dc:language>
  <cp:keywords/>
  <dcterms:created xsi:type="dcterms:W3CDTF">2026-07-29T06:28:54Z</dcterms:created>
  <dcterms:modified xsi:type="dcterms:W3CDTF">2026-07-29T06:28:54Z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