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Advanced</w:t>
      </w:r>
      <w:r>
        <w:t xml:space="preserve"> </w:t>
      </w:r>
      <w:r>
        <w:t xml:space="preserve">Chemist</w:t>
      </w:r>
      <w:r>
        <w:t xml:space="preserve"> </w:t>
      </w:r>
      <w:r>
        <w:t xml:space="preserve">Research</w:t>
      </w:r>
      <w:r>
        <w:t xml:space="preserve"> </w:t>
      </w:r>
      <w:r>
        <w:t xml:space="preserve">in</w:t>
      </w:r>
      <w:r>
        <w:t xml:space="preserve"> </w:t>
      </w:r>
      <w:r>
        <w:t xml:space="preserve">Tel</w:t>
      </w:r>
      <w:r>
        <w:t xml:space="preserve"> </w:t>
      </w:r>
      <w:r>
        <w:t xml:space="preserve">Aviv</w:t>
      </w:r>
    </w:p>
    <w:bookmarkStart w:id="28" w:name="Xab2e9f15c67e25c27a2595eb9189da5153fc604"/>
    <w:p>
      <w:pPr>
        <w:pStyle w:val="Heading1"/>
      </w:pPr>
      <w:r>
        <w:t xml:space="preserve">Poster Presentation Title:</w:t>
      </w:r>
      <w:r>
        <w:br/>
      </w:r>
      <w:r>
        <w:rPr>
          <w:bCs/>
          <w:b/>
        </w:rPr>
        <w:t xml:space="preserve">The Mediterranean Catalyst:</w:t>
      </w:r>
      <w:r>
        <w:br/>
      </w:r>
      <w:r>
        <w:rPr>
          <w:bCs/>
          <w:b/>
        </w:rPr>
        <w:t xml:space="preserve">Innovations in Sustainable Green Chemistry for Arid Climates</w:t>
      </w:r>
    </w:p>
    <w:p>
      <w:pPr>
        <w:pStyle w:val="FirstParagraph"/>
      </w:pPr>
      <w:r>
        <w:rPr>
          <w:iCs/>
          <w:i/>
        </w:rPr>
        <w:t xml:space="preserve">This document serves as the comprehensive textual content and structural layout for an Academic Poster Presentation designed for exhibition at a major scientific conference in Israel, Tel Aviv. The presentation highlights the work of a dedicated Chemist specializing in environmentally conscious chemical synthesis and water purification technologies tailored to the unique environmental challenges of the region.</w:t>
      </w:r>
    </w:p>
    <w:bookmarkStart w:id="20" w:name="Xd7431b36689ac07918d468c5d15ede58758ba6b"/>
    <w:p>
      <w:pPr>
        <w:pStyle w:val="Heading2"/>
      </w:pPr>
      <w:r>
        <w:t xml:space="preserve">1. Introduction: The Intersection of Chemistry and Regional Necessity</w:t>
      </w:r>
    </w:p>
    <w:p>
      <w:pPr>
        <w:pStyle w:val="FirstParagraph"/>
      </w:pPr>
      <w:r>
        <w:t xml:space="preserve">The field of modern chemistry is at a critical juncture where theoretical innovation must meet practical, global challenges. This poster presentation details the research conducted by a lead Chemist focusing on sustainable methodologies that address pressing environmental issues specific to the Middle East. As Tel Aviv stands as one of Israel's most prominent hubs for scientific research and technological innovation, this academic contribution aligns perfectly with the city's reputation for fostering breakthroughs in life sciences and chemical engineering.</w:t>
      </w:r>
    </w:p>
    <w:p>
      <w:pPr>
        <w:pStyle w:val="BodyText"/>
      </w:pPr>
      <w:r>
        <w:t xml:space="preserve">The primary objective of this study is to develop novel catalytic processes that reduce energy consumption while maximizing yield. By situating our research within the context of</w:t>
      </w:r>
      <w:r>
        <w:t xml:space="preserve"> </w:t>
      </w:r>
      <w:r>
        <w:rPr>
          <w:bCs/>
          <w:b/>
        </w:rPr>
        <w:t xml:space="preserve">Israel</w:t>
      </w:r>
      <w:r>
        <w:t xml:space="preserve">, we acknowledge a region characterized by limited water resources and high solar irradiance. These geographic constraints are not merely obstacles but opportunities for chemical innovation. The dense urban landscape of</w:t>
      </w:r>
      <w:r>
        <w:t xml:space="preserve"> </w:t>
      </w:r>
      <w:r>
        <w:rPr>
          <w:bCs/>
          <w:b/>
        </w:rPr>
        <w:t xml:space="preserve">Tel Aviv</w:t>
      </w:r>
      <w:r>
        <w:t xml:space="preserve"> </w:t>
      </w:r>
      <w:r>
        <w:t xml:space="preserve">provides an ideal testing ground for pilot-scale implementations, bridging the gap between laboratory benchtop experiments and industrial application.</w:t>
      </w:r>
    </w:p>
    <w:bookmarkEnd w:id="20"/>
    <w:bookmarkStart w:id="21" w:name="X58ccfb44e966c24032b35dc37628cb891ba99ae"/>
    <w:p>
      <w:pPr>
        <w:pStyle w:val="Heading2"/>
      </w:pPr>
      <w:r>
        <w:t xml:space="preserve">2. Literature Review: Contextualizing Green Chemistry in Arid Zones</w:t>
      </w:r>
    </w:p>
    <w:p>
      <w:pPr>
        <w:pStyle w:val="FirstParagraph"/>
      </w:pPr>
      <w:r>
        <w:t xml:space="preserve">Traditional chemical manufacturing has historically relied on solvent-heavy processes that generate significant hazardous waste. While Green Chemistry principles advocate for safer solvents and auxiliaries, their application in arid climates presents unique complexities. Previous studies have explored photocatalysis using solar energy, yet most lack scalability or economic viability.</w:t>
      </w:r>
    </w:p>
    <w:p>
      <w:pPr>
        <w:pStyle w:val="BodyText"/>
      </w:pPr>
      <w:r>
        <w:t xml:space="preserve">Our review of existing literature indicates a gap in research regarding hybrid catalytic systems that can operate efficiently under high-temperature conditions without compromising selectivity. In</w:t>
      </w:r>
      <w:r>
        <w:t xml:space="preserve"> </w:t>
      </w:r>
      <w:r>
        <w:rPr>
          <w:bCs/>
          <w:b/>
        </w:rPr>
        <w:t xml:space="preserve">Tel Aviv</w:t>
      </w:r>
      <w:r>
        <w:t xml:space="preserve">, where industrial zones are closely integrated with residential and academic areas, reducing the carbon footprint of chemical plants is not just an ethical imperative but a regulatory necessity. The current academic discourse in</w:t>
      </w:r>
      <w:r>
        <w:t xml:space="preserve"> </w:t>
      </w:r>
      <w:r>
        <w:rPr>
          <w:bCs/>
          <w:b/>
        </w:rPr>
        <w:t xml:space="preserve">Israel</w:t>
      </w:r>
      <w:r>
        <w:t xml:space="preserve"> </w:t>
      </w:r>
      <w:r>
        <w:t xml:space="preserve">heavily emphasizes water desalination and remediation, yet there is less focus on the chemical precursors used in these filtration systems. This presentation aims to fill that void.</w:t>
      </w:r>
    </w:p>
    <w:bookmarkEnd w:id="21"/>
    <w:bookmarkStart w:id="22" w:name="X8c9cd4b1b4e390b40ebd759555e687e583760ee"/>
    <w:p>
      <w:pPr>
        <w:pStyle w:val="Heading2"/>
      </w:pPr>
      <w:r>
        <w:t xml:space="preserve">3. Methodology: A Multi-Stage Approach to Catalytic Efficiency</w:t>
      </w:r>
    </w:p>
    <w:p>
      <w:pPr>
        <w:pStyle w:val="FirstParagraph"/>
      </w:pPr>
      <w:r>
        <w:t xml:space="preserve">The research employs a rigorous multi-stage experimental design conducted in partnership with leading institutions within</w:t>
      </w:r>
      <w:r>
        <w:t xml:space="preserve"> </w:t>
      </w:r>
      <w:r>
        <w:rPr>
          <w:bCs/>
          <w:b/>
        </w:rPr>
        <w:t xml:space="preserve">Israel Tel Aviv</w:t>
      </w:r>
      <w:r>
        <w:t xml:space="preserve">. The methodology is divided into three distinct phases:</w:t>
      </w:r>
    </w:p>
    <w:p>
      <w:pPr>
        <w:numPr>
          <w:ilvl w:val="0"/>
          <w:numId w:val="1001"/>
        </w:numPr>
        <w:pStyle w:val="Compact"/>
      </w:pPr>
      <w:r>
        <w:rPr>
          <w:bCs/>
          <w:b/>
        </w:rPr>
        <w:t xml:space="preserve">Synthesis Phase:</w:t>
      </w:r>
      <w:r>
        <w:t xml:space="preserve"> </w:t>
      </w:r>
      <w:r>
        <w:t xml:space="preserve">We utilized hydrothermal synthesis methods to create metal-organic frameworks (MOFs) functionalized with nitrogen-doped carbon structures. This approach allows for precise tuning of pore sizes, enhancing the adsorption capabilities of the catalysts.</w:t>
      </w:r>
    </w:p>
    <w:p>
      <w:pPr>
        <w:numPr>
          <w:ilvl w:val="0"/>
          <w:numId w:val="1001"/>
        </w:numPr>
        <w:pStyle w:val="Compact"/>
      </w:pPr>
      <w:r>
        <w:rPr>
          <w:bCs/>
          <w:b/>
        </w:rPr>
        <w:t xml:space="preserve">Simulation Phase:</w:t>
      </w:r>
      <w:r>
        <w:t xml:space="preserve"> </w:t>
      </w:r>
      <w:r>
        <w:t xml:space="preserve">Computational modeling was employed to predict reaction pathways under varying temperature and pressure conditions typical of Mediterranean summers. This step minimizes material waste during early experimental stages.</w:t>
      </w:r>
    </w:p>
    <w:p>
      <w:pPr>
        <w:numPr>
          <w:ilvl w:val="0"/>
          <w:numId w:val="1001"/>
        </w:numPr>
        <w:pStyle w:val="Compact"/>
      </w:pPr>
      <w:r>
        <w:rPr>
          <w:bCs/>
          <w:b/>
        </w:rPr>
        <w:t xml:space="preserve">Experimental Validation:</w:t>
      </w:r>
      <w:r>
        <w:t xml:space="preserve"> </w:t>
      </w:r>
      <w:r>
        <w:t xml:space="preserve">Bench-scale reactors were constructed to test the stability and efficiency of the MOFs in degrading organic pollutants found in industrial wastewater. The experiments were conducted at</w:t>
      </w:r>
      <w:r>
        <w:t xml:space="preserve"> </w:t>
      </w:r>
      <w:r>
        <w:rPr>
          <w:bCs/>
          <w:b/>
        </w:rPr>
        <w:t xml:space="preserve">Tel Aviv</w:t>
      </w:r>
      <w:r>
        <w:t xml:space="preserve"> </w:t>
      </w:r>
      <w:r>
        <w:t xml:space="preserve">University’s specialized chemistry laboratories, ensuring access to state-of-the-art spectroscopic analysis tools such as NMR, FTIR, and Mass Spectrometry.</w:t>
      </w:r>
    </w:p>
    <w:bookmarkEnd w:id="22"/>
    <w:bookmarkStart w:id="24" w:name="X4c97ea4153f21380efda7d5ca7b03e931abac90"/>
    <w:p>
      <w:pPr>
        <w:pStyle w:val="Heading2"/>
      </w:pPr>
      <w:r>
        <w:t xml:space="preserve">4. Results: Quantifiable Advances in Sustainable Chemistry</w:t>
      </w:r>
    </w:p>
    <w:p>
      <w:pPr>
        <w:pStyle w:val="FirstParagraph"/>
      </w:pPr>
      <w:r>
        <w:t xml:space="preserve">The preliminary data indicates a remarkable improvement in catalytic activity compared to traditional titanium dioxide-based systems. Our synthesized MOFs demonstrated a 40% increase in reaction rates at ambient temperatures, significantly reducing the energy input required for industrial processes.</w:t>
      </w:r>
    </w:p>
    <w:p>
      <w:pPr>
        <w:pStyle w:val="BodyText"/>
      </w:pPr>
      <w:r>
        <w:t xml:space="preserve">Furthermore, the structural integrity of the catalysts remained intact after 50 cycles of reuse, addressing one of the major concerns regarding economic sustainability. In the context of</w:t>
      </w:r>
      <w:r>
        <w:t xml:space="preserve"> </w:t>
      </w:r>
      <w:r>
        <w:rPr>
          <w:bCs/>
          <w:b/>
        </w:rPr>
        <w:t xml:space="preserve">Israel</w:t>
      </w:r>
      <w:r>
        <w:t xml:space="preserve">, where resource efficiency is paramount, this durability translates directly to cost savings and reduced environmental impact.</w:t>
      </w:r>
    </w:p>
    <w:bookmarkStart w:id="23" w:name="data-visualization-summary"/>
    <w:p>
      <w:pPr>
        <w:pStyle w:val="Heading3"/>
      </w:pPr>
      <w:r>
        <w:t xml:space="preserve">Data Visualization Summary</w:t>
      </w:r>
    </w:p>
    <w:p>
      <w:pPr>
        <w:numPr>
          <w:ilvl w:val="0"/>
          <w:numId w:val="1002"/>
        </w:numPr>
        <w:pStyle w:val="Compact"/>
      </w:pPr>
      <w:r>
        <w:t xml:space="preserve">Figure A: Comparative analysis of degradation rates under simulated solar irradiation.</w:t>
      </w:r>
    </w:p>
    <w:p>
      <w:pPr>
        <w:numPr>
          <w:ilvl w:val="0"/>
          <w:numId w:val="1002"/>
        </w:numPr>
        <w:pStyle w:val="Compact"/>
      </w:pPr>
      <w:r>
        <w:t xml:space="preserve">Figure B: Stability testing over repeated experimental cycles in saline conditions mimicking Mediterranean coastal water samples.</w:t>
      </w:r>
    </w:p>
    <w:p>
      <w:pPr>
        <w:pStyle w:val="FirstParagraph"/>
      </w:pPr>
      <w:r>
        <w:t xml:space="preserve">These results underscore the viability of our proposed chemical methods for integration into larger municipal infrastructure projects currently being planned in</w:t>
      </w:r>
      <w:r>
        <w:t xml:space="preserve"> </w:t>
      </w:r>
      <w:r>
        <w:rPr>
          <w:bCs/>
          <w:b/>
        </w:rPr>
        <w:t xml:space="preserve">Tel Aviv</w:t>
      </w:r>
      <w:r>
        <w:t xml:space="preserve">.</w:t>
      </w:r>
    </w:p>
    <w:bookmarkEnd w:id="23"/>
    <w:bookmarkEnd w:id="24"/>
    <w:bookmarkStart w:id="25" w:name="Xecef7fba3a9f94ebfd278ca95cd620dab771186"/>
    <w:p>
      <w:pPr>
        <w:pStyle w:val="Heading2"/>
      </w:pPr>
      <w:r>
        <w:t xml:space="preserve">5. Discussion: Implications for Tel Aviv and Global Sustainability</w:t>
      </w:r>
    </w:p>
    <w:p>
      <w:pPr>
        <w:pStyle w:val="FirstParagraph"/>
      </w:pPr>
      <w:r>
        <w:t xml:space="preserve">The implications of this research extend beyond the laboratory. By adapting chemical processes to thrive in arid, high-heat environments, we contribute to the broader goals of sustainable urban development.</w:t>
      </w:r>
      <w:r>
        <w:t xml:space="preserve"> </w:t>
      </w:r>
      <w:r>
        <w:rPr>
          <w:bCs/>
          <w:b/>
        </w:rPr>
        <w:t xml:space="preserve">Tel Aviv</w:t>
      </w:r>
      <w:r>
        <w:t xml:space="preserve">, as a coastal metropolis, faces significant challenges related to water quality and industrial pollution runoff into the Mediterranean Sea.</w:t>
      </w:r>
    </w:p>
    <w:p>
      <w:pPr>
        <w:pStyle w:val="BodyText"/>
      </w:pPr>
      <w:r>
        <w:t xml:space="preserve">This</w:t>
      </w:r>
      <w:r>
        <w:t xml:space="preserve"> </w:t>
      </w:r>
      <w:r>
        <w:rPr>
          <w:bCs/>
          <w:b/>
        </w:rPr>
        <w:t xml:space="preserve">Chemist’s</w:t>
      </w:r>
      <w:r>
        <w:t xml:space="preserve"> </w:t>
      </w:r>
      <w:r>
        <w:t xml:space="preserve">work offers a scalable solution that can be deployed in local wastewater treatment facilities. Moreover, the techniques developed here are transferable to other regions facing similar climatic conditions across North Africa and the Arabian Peninsula. The academic community in</w:t>
      </w:r>
      <w:r>
        <w:t xml:space="preserve"> </w:t>
      </w:r>
      <w:r>
        <w:rPr>
          <w:bCs/>
          <w:b/>
        </w:rPr>
        <w:t xml:space="preserve">Israel</w:t>
      </w:r>
      <w:r>
        <w:t xml:space="preserve"> </w:t>
      </w:r>
      <w:r>
        <w:t xml:space="preserve">is uniquely positioned to lead this charge due to its strong emphasis on interdisciplinary collaboration between chemists, engineers, and environmental scientists.</w:t>
      </w:r>
    </w:p>
    <w:bookmarkEnd w:id="25"/>
    <w:bookmarkStart w:id="26" w:name="Xc73aab36644e7d9c624dda389672175040a1236"/>
    <w:p>
      <w:pPr>
        <w:pStyle w:val="Heading2"/>
      </w:pPr>
      <w:r>
        <w:t xml:space="preserve">6. Conclusion: Bridging Theory and Practice in a Tech-Driven Hub</w:t>
      </w:r>
    </w:p>
    <w:p>
      <w:pPr>
        <w:pStyle w:val="FirstParagraph"/>
      </w:pPr>
      <w:r>
        <w:t xml:space="preserve">In conclusion, this poster presentation highlights the critical role of advanced chemical research in solving regional environmental challenges. Through rigorous methodology and innovative synthesis techniques, our team has developed sustainable catalytic systems that are both efficient and durable.</w:t>
      </w:r>
    </w:p>
    <w:p>
      <w:pPr>
        <w:pStyle w:val="BodyText"/>
      </w:pPr>
      <w:r>
        <w:t xml:space="preserve">The location of this research within</w:t>
      </w:r>
      <w:r>
        <w:t xml:space="preserve"> </w:t>
      </w:r>
      <w:r>
        <w:rPr>
          <w:bCs/>
          <w:b/>
        </w:rPr>
        <w:t xml:space="preserve">Israel Tel Aviv</w:t>
      </w:r>
      <w:r>
        <w:t xml:space="preserve"> </w:t>
      </w:r>
      <w:r>
        <w:t xml:space="preserve">is strategic, leveraging the city’s academic excellence and technological infrastructure to drive real-world impact. As we move forward, further collaboration with local industries in</w:t>
      </w:r>
      <w:r>
        <w:t xml:space="preserve"> </w:t>
      </w:r>
      <w:r>
        <w:rPr>
          <w:bCs/>
          <w:b/>
        </w:rPr>
        <w:t xml:space="preserve">Tel Aviv</w:t>
      </w:r>
      <w:r>
        <w:t xml:space="preserve"> </w:t>
      </w:r>
      <w:r>
        <w:t xml:space="preserve">will be essential to scale these technologies. We invite peers and stakeholders from across the global chemistry community to engage with our findings, fostering a network of innovation that benefits both</w:t>
      </w:r>
      <w:r>
        <w:t xml:space="preserve"> </w:t>
      </w:r>
      <w:r>
        <w:rPr>
          <w:bCs/>
          <w:b/>
        </w:rPr>
        <w:t xml:space="preserve">Israel</w:t>
      </w:r>
      <w:r>
        <w:t xml:space="preserve"> </w:t>
      </w:r>
      <w:r>
        <w:t xml:space="preserve">and the wider world.</w:t>
      </w:r>
    </w:p>
    <w:bookmarkEnd w:id="26"/>
    <w:bookmarkStart w:id="27" w:name="acknowledgments"/>
    <w:p>
      <w:pPr>
        <w:pStyle w:val="Heading2"/>
      </w:pPr>
      <w:r>
        <w:t xml:space="preserve">Acknowledgments</w:t>
      </w:r>
    </w:p>
    <w:p>
      <w:pPr>
        <w:pStyle w:val="FirstParagraph"/>
      </w:pPr>
      <w:r>
        <w:t xml:space="preserve">We acknowledge the funding support from Israeli national research grants and laboratory facilities provided by academic institutions in</w:t>
      </w:r>
      <w:r>
        <w:t xml:space="preserve"> </w:t>
      </w:r>
      <w:r>
        <w:rPr>
          <w:bCs/>
          <w:b/>
        </w:rPr>
        <w:t xml:space="preserve">Tel Aviv</w:t>
      </w:r>
      <w:r>
        <w:t xml:space="preserve">. Special thanks to the local engineering teams who assisted in pilot project implementations.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Advanced Chemist Research in Tel Aviv</dc:title>
  <dc:creator/>
  <dc:language>en</dc:language>
  <cp:keywords/>
  <dcterms:created xsi:type="dcterms:W3CDTF">2026-07-29T16:57:04Z</dcterms:created>
  <dcterms:modified xsi:type="dcterms:W3CDTF">2026-07-29T16:57:04Z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