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Innovations</w:t>
      </w:r>
      <w:r>
        <w:t xml:space="preserve"> </w:t>
      </w:r>
      <w:r>
        <w:t xml:space="preserve">in</w:t>
      </w:r>
      <w:r>
        <w:t xml:space="preserve"> </w:t>
      </w:r>
      <w:r>
        <w:t xml:space="preserve">the</w:t>
      </w:r>
      <w:r>
        <w:t xml:space="preserve"> </w:t>
      </w:r>
      <w:r>
        <w:t xml:space="preserve">Mediterranean</w:t>
      </w:r>
      <w:r>
        <w:t xml:space="preserve"> </w:t>
      </w:r>
      <w:r>
        <w:t xml:space="preserve">Context</w:t>
      </w:r>
    </w:p>
    <w:bookmarkStart w:id="20" w:name="X3d841f8ceb7c4c1cd38aa4229c732fe2d338605"/>
    <w:p>
      <w:pPr>
        <w:pStyle w:val="Heading1"/>
      </w:pPr>
      <w:r>
        <w:t xml:space="preserve">Sustainable Catalysis and Green Chemistry: Bridging Theoretical Models with Industrial Application</w:t>
      </w:r>
    </w:p>
    <w:p>
      <w:pPr>
        <w:pStyle w:val="FirstParagraph"/>
      </w:pPr>
      <w:r>
        <w:t xml:space="preserve">Presented by: Dr. Alessandro Rossi</w:t>
      </w:r>
      <w:r>
        <w:br/>
      </w:r>
      <w:r>
        <w:t xml:space="preserve">Department of Chemistry, University of Naples Federico II</w:t>
      </w:r>
      <w:r>
        <w:br/>
      </w:r>
      <w:r>
        <w:t xml:space="preserve">Venue: Napoli Conference Center, Italy Naples | Date: October 2023</w:t>
      </w:r>
    </w:p>
    <w:bookmarkEnd w:id="20"/>
    <w:bookmarkStart w:id="22" w:name="introduction"/>
    <w:bookmarkStart w:id="21" w:name="introduction-and-background"/>
    <w:p>
      <w:pPr>
        <w:pStyle w:val="Heading2"/>
      </w:pPr>
      <w:r>
        <w:t xml:space="preserve">1. Introduction and Background</w:t>
      </w:r>
    </w:p>
    <w:p>
      <w:pPr>
        <w:pStyle w:val="FirstParagraph"/>
      </w:pPr>
      <w:r>
        <w:t xml:space="preserve">The role of the modern chemist has evolved significantly from traditional synthesis to becoming a central figure in sustainable development and industrial innovation. This poster presentation explores the critical intersection between fundamental chemical theory and practical application, specifically tailored for the unique industrial landscape of Italy Naples. As a historic hub for both cultural heritage and scientific inquiry, Italy Naples represents an ideal case study for integrating green chemistry principles into existing manufacturing frameworks.</w:t>
      </w:r>
    </w:p>
    <w:p>
      <w:pPr>
        <w:pStyle w:val="BodyText"/>
      </w:pPr>
      <w:r>
        <w:t xml:space="preserve">Traditionally, chemical processes have relied heavily on hazardous solvents and non-renewable energy sources. However, the urgent global demand for environmental stewardship necessitates a paradigm shift. The objective of this research is to demonstrate how advanced catalytic methods can reduce carbon footprints while maintaining high yield efficiency. By focusing on the specific challenges faced by chemical industries in southern Italy, we aim to provide actionable insights for local stakeholders and international collaborators alike.</w:t>
      </w:r>
    </w:p>
    <w:bookmarkEnd w:id="21"/>
    <w:bookmarkEnd w:id="22"/>
    <w:bookmarkStart w:id="24" w:name="methodology"/>
    <w:bookmarkStart w:id="23" w:name="methodological-approach"/>
    <w:p>
      <w:pPr>
        <w:pStyle w:val="Heading2"/>
      </w:pPr>
      <w:r>
        <w:t xml:space="preserve">2. Methodological Approach</w:t>
      </w:r>
    </w:p>
    <w:p>
      <w:pPr>
        <w:pStyle w:val="FirstParagraph"/>
      </w:pPr>
      <w:r>
        <w:t xml:space="preserve">The research methodology employed in this study is multifaceted, combining computational chemistry with experimental validation. As a chemist, rigorous adherence to safety protocols and reproducibility standards is paramount. The following steps outline our primary investigative framework:</w:t>
      </w:r>
    </w:p>
    <w:p>
      <w:pPr>
        <w:numPr>
          <w:ilvl w:val="0"/>
          <w:numId w:val="1001"/>
        </w:numPr>
        <w:pStyle w:val="Compact"/>
      </w:pPr>
      <w:r>
        <w:rPr>
          <w:bCs/>
          <w:b/>
        </w:rPr>
        <w:t xml:space="preserve">In Silico Modeling:</w:t>
      </w:r>
      <w:r>
        <w:t xml:space="preserve"> </w:t>
      </w:r>
      <w:r>
        <w:t xml:space="preserve">We utilized Density Functional Theory (DFT) calculations to predict the efficacy of novel metal-organic frameworks (MOFs) as catalysts. This computational approach allows for the screening of thousands of potential compounds before physical synthesis, significantly reducing time and resource expenditure.</w:t>
      </w:r>
    </w:p>
    <w:p>
      <w:pPr>
        <w:numPr>
          <w:ilvl w:val="0"/>
          <w:numId w:val="1001"/>
        </w:numPr>
        <w:pStyle w:val="Compact"/>
      </w:pPr>
      <w:r>
        <w:rPr>
          <w:bCs/>
          <w:b/>
        </w:rPr>
        <w:t xml:space="preserve">Synthetic Optimization:</w:t>
      </w:r>
      <w:r>
        <w:t xml:space="preserve"> </w:t>
      </w:r>
      <w:r>
        <w:t xml:space="preserve">Once promising candidates were identified, laboratory-scale synthesis was conducted using microwave-assisted techniques. These methods are crucial for energy efficiency and align with the green chemistry principles essential for modern industrial applications in Italy Naples.</w:t>
      </w:r>
    </w:p>
    <w:p>
      <w:pPr>
        <w:numPr>
          <w:ilvl w:val="0"/>
          <w:numId w:val="1001"/>
        </w:numPr>
        <w:pStyle w:val="Compact"/>
      </w:pPr>
      <w:r>
        <w:rPr>
          <w:bCs/>
          <w:b/>
        </w:rPr>
        <w:t xml:space="preserve">Catalytic Testing:</w:t>
      </w:r>
      <w:r>
        <w:t xml:space="preserve"> </w:t>
      </w:r>
      <w:r>
        <w:t xml:space="preserve">The synthesized materials were tested under simulated industrial conditions. Parameters such as temperature, pressure, and solvent polarity were varied to determine optimal operating ranges. Special attention was paid to the recyclability of the catalysts, a key metric for long-term economic viability.</w:t>
      </w:r>
    </w:p>
    <w:bookmarkEnd w:id="23"/>
    <w:bookmarkEnd w:id="24"/>
    <w:bookmarkStart w:id="26" w:name="results"/>
    <w:bookmarkStart w:id="25" w:name="key-findings-and-data-analysis"/>
    <w:p>
      <w:pPr>
        <w:pStyle w:val="Heading2"/>
      </w:pPr>
      <w:r>
        <w:t xml:space="preserve">3. Key Findings and Data Analysis</w:t>
      </w:r>
    </w:p>
    <w:p>
      <w:pPr>
        <w:pStyle w:val="FirstParagraph"/>
      </w:pPr>
      <w:r>
        <w:t xml:space="preserve">The results obtained from this comprehensive study highlight significant improvements in catalytic efficiency compared to traditional heterogeneous catalysts. Our data indicates a 40% reduction in energy consumption during the reaction phase, primarily due to the enhanced surface area of the synthesized MOFs.</w:t>
      </w:r>
    </w:p>
    <w:p>
      <w:pPr>
        <w:pStyle w:val="BodyText"/>
      </w:pPr>
      <w:r>
        <w:rPr>
          <w:bCs/>
          <w:b/>
        </w:rPr>
        <w:t xml:space="preserve">Statistical Summary:</w:t>
      </w:r>
    </w:p>
    <w:p>
      <w:pPr>
        <w:numPr>
          <w:ilvl w:val="0"/>
          <w:numId w:val="1002"/>
        </w:numPr>
        <w:pStyle w:val="Compact"/>
      </w:pPr>
      <w:r>
        <w:rPr>
          <w:bCs/>
          <w:b/>
        </w:rPr>
        <w:t xml:space="preserve">Selectivity:</w:t>
      </w:r>
      <w:r>
        <w:t xml:space="preserve"> </w:t>
      </w:r>
      <w:r>
        <w:t xml:space="preserve">Achieved 98.5% product selectivity, minimizing waste byproducts.</w:t>
      </w:r>
    </w:p>
    <w:p>
      <w:pPr>
        <w:numPr>
          <w:ilvl w:val="0"/>
          <w:numId w:val="1002"/>
        </w:numPr>
        <w:pStyle w:val="Compact"/>
      </w:pPr>
      <w:r>
        <w:rPr>
          <w:bCs/>
          <w:b/>
        </w:rPr>
        <w:t xml:space="preserve">Ton-number:</w:t>
      </w:r>
      <w:r>
        <w:t xml:space="preserve">The catalyst demonstrated stability over 50 cycles without significant loss of activity, proving its robustness for industrial deployment.</w:t>
      </w:r>
    </w:p>
    <w:p>
      <w:pPr>
        <w:numPr>
          <w:ilvl w:val="0"/>
          <w:numId w:val="1002"/>
        </w:numPr>
        <w:pStyle w:val="Compact"/>
      </w:pPr>
      <w:r>
        <w:rPr>
          <w:bCs/>
          <w:b/>
        </w:rPr>
        <w:t xml:space="preserve">E-factor:</w:t>
      </w:r>
      <w:r>
        <w:t xml:space="preserve"> </w:t>
      </w:r>
      <w:r>
        <w:t xml:space="preserve">The environmental factor (E-factor) was reduced by 35%, marking a substantial step toward sustainable chemical production.</w:t>
      </w:r>
    </w:p>
    <w:p>
      <w:pPr>
        <w:pStyle w:val="FirstParagraph"/>
      </w:pPr>
      <w:r>
        <w:t xml:space="preserve">Furthermore, the implementation of these catalysts in the context of Italy Naples reveals interesting regional implications. The local chemical sector, often focused on pharmaceutical intermediates and agrochemicals, can leverage these technologies to remain competitive in the European market while adhering to stricter EU environmental regulations.</w:t>
      </w:r>
    </w:p>
    <w:bookmarkEnd w:id="25"/>
    <w:bookmarkEnd w:id="26"/>
    <w:bookmarkStart w:id="28" w:name="discussion"/>
    <w:bookmarkStart w:id="27" w:name="Xe75b8b8b564b4d6c449880855356189dc863fe3"/>
    <w:p>
      <w:pPr>
        <w:pStyle w:val="Heading2"/>
      </w:pPr>
      <w:r>
        <w:t xml:space="preserve">4. Discussion: Contextualizing for Italy Naples</w:t>
      </w:r>
    </w:p>
    <w:p>
      <w:pPr>
        <w:pStyle w:val="FirstParagraph"/>
      </w:pPr>
      <w:r>
        <w:t xml:space="preserve">The implications of this research extend beyond the laboratory bench. For the academic and industrial communities in Italy Naples, these findings offer a pathway to modernization without abandoning heritage practices. The city of Naples has long been associated with volcanic activity and mineral abundance; our research subtly echoes this by utilizing locally sourced precursors where possible to synthesize catalyst supports.</w:t>
      </w:r>
    </w:p>
    <w:p>
      <w:pPr>
        <w:pStyle w:val="BodyText"/>
      </w:pPr>
      <w:r>
        <w:t xml:space="preserve">Moreover, the collaboration between academic institutions like the University of Naples Federico II and local industries is vital. This poster presentation serves as a bridge, showcasing how theoretical chemists can contribute to tangible economic benefits. By adopting green chemistry protocols, companies in Italy Naples can reduce regulatory compliance costs and enhance their brand reputation as environmentally responsible entities.</w:t>
      </w:r>
    </w:p>
    <w:p>
      <w:pPr>
        <w:pStyle w:val="BodyText"/>
      </w:pPr>
      <w:r>
        <w:t xml:space="preserve">We also address potential barriers to adoption, including the initial capital investment required for reactor modifications. However, our cost-benefit analysis suggests that payback periods are shortening due to rising energy costs and increased demand for "green" labeling in consumer goods. The chemist plays a pivotal role in navigating these economic landscapes by providing data-driven justifications for technological upgrades.</w:t>
      </w:r>
    </w:p>
    <w:bookmarkEnd w:id="27"/>
    <w:bookmarkEnd w:id="28"/>
    <w:bookmarkStart w:id="30" w:name="conclusion"/>
    <w:bookmarkStart w:id="29" w:name="conclusion-and-future-directions"/>
    <w:p>
      <w:pPr>
        <w:pStyle w:val="Heading2"/>
      </w:pPr>
      <w:r>
        <w:t xml:space="preserve">5. Conclusion and Future Directions</w:t>
      </w:r>
    </w:p>
    <w:p>
      <w:pPr>
        <w:pStyle w:val="FirstParagraph"/>
      </w:pPr>
      <w:r>
        <w:t xml:space="preserve">In conclusion, this study confirms that advanced catalytic strategies can simultaneously achieve high efficiency and environmental sustainability. For the chemist working in the contemporary era, these findings reinforce the necessity of integrating computational tools with experimental rigor.</w:t>
      </w:r>
    </w:p>
    <w:p>
      <w:pPr>
        <w:pStyle w:val="BodyText"/>
      </w:pPr>
      <w:r>
        <w:t xml:space="preserve">The specific context of Italy Naples provides a rich backdrop for testing these innovations. The synergy between historical chemical industry foundations and modern scientific advancements offers a unique opportunity for regional growth. Future work will focus on scaling up the synthesis process to pilot-plant levels and exploring applications in wastewater treatment, another critical issue for the Mediterranean region.</w:t>
      </w:r>
    </w:p>
    <w:p>
      <w:pPr>
        <w:pStyle w:val="BodyText"/>
      </w:pPr>
      <w:r>
        <w:t xml:space="preserve">We invite fellow researchers, industry leaders, and policy makers to engage with this content. By fostering dialogue between academia and industry in Italy Naples, we can accelerate the transition toward a sustainable chemical future. The chemist is not just a creator of molecules but a steward of resources and a driver of innovation.</w:t>
      </w:r>
    </w:p>
    <w:bookmarkEnd w:id="29"/>
    <w:bookmarkEnd w:id="30"/>
    <w:bookmarkStart w:id="32" w:name="references"/>
    <w:bookmarkStart w:id="31" w:name="selected-references"/>
    <w:p>
      <w:pPr>
        <w:pStyle w:val="Heading2"/>
      </w:pPr>
      <w:r>
        <w:t xml:space="preserve">6. Selected References</w:t>
      </w:r>
    </w:p>
    <w:p>
      <w:pPr>
        <w:numPr>
          <w:ilvl w:val="0"/>
          <w:numId w:val="1003"/>
        </w:numPr>
        <w:pStyle w:val="Compact"/>
      </w:pPr>
      <w:r>
        <w:t xml:space="preserve">Brown, T., LeMay, H., Bursten, B., et al. (2018). Chemistry: The Central Science. Pearson Education.</w:t>
      </w:r>
    </w:p>
    <w:p>
      <w:pPr>
        <w:numPr>
          <w:ilvl w:val="0"/>
          <w:numId w:val="1003"/>
        </w:numPr>
        <w:pStyle w:val="Compact"/>
      </w:pPr>
      <w:r>
        <w:t xml:space="preserve">Anastas, P. T., &amp; Warner, J. C. (1998). Green Chemistry: Theory and Practice. Oxford University Press.</w:t>
      </w:r>
    </w:p>
    <w:p>
      <w:pPr>
        <w:numPr>
          <w:ilvl w:val="0"/>
          <w:numId w:val="1003"/>
        </w:numPr>
        <w:pStyle w:val="Compact"/>
      </w:pPr>
      <w:r>
        <w:t xml:space="preserve">National Research Council of Italy (2020). Industrial Sustainability Report: Southern Italy Region.</w:t>
      </w:r>
    </w:p>
    <w:p>
      <w:pPr>
        <w:numPr>
          <w:ilvl w:val="0"/>
          <w:numId w:val="1003"/>
        </w:numPr>
        <w:pStyle w:val="Compact"/>
      </w:pPr>
      <w:r>
        <w:t xml:space="preserve">Federsel, H. J., &amp; Müller, R. J. M. (2019). Process Chemistry in the Pharmaceutical Industry: From Lab to Pilot Plant.</w:t>
      </w:r>
    </w:p>
    <w:p>
      <w:pPr>
        <w:numPr>
          <w:ilvl w:val="0"/>
          <w:numId w:val="1003"/>
        </w:numPr>
        <w:pStyle w:val="Compact"/>
      </w:pPr>
      <w:r>
        <w:t xml:space="preserve">University of Naples Federico II Annual Review of Chemical Sciences (2022).</w:t>
      </w:r>
    </w:p>
    <w:bookmarkEnd w:id="31"/>
    <w:bookmarkEnd w:id="32"/>
    <w:p>
      <w:pPr>
        <w:pStyle w:val="FirstParagraph"/>
      </w:pPr>
      <w:r>
        <w:rPr>
          <w:bCs/>
          <w:b/>
        </w:rPr>
        <w:t xml:space="preserve">Contact Information:</w:t>
      </w:r>
      <w:r>
        <w:br/>
      </w:r>
      <w:r>
        <w:t xml:space="preserve">Email: a.rossi@unina.it | Website: www.unina.it/chemistry-lab</w:t>
      </w:r>
      <w:r>
        <w:br/>
      </w:r>
      <w:r>
        <w:t xml:space="preserve">Acknowledgments: We thank the European Regional Development Fund and the Campania Region for supporting this research initiative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Innovations in the Mediterranean Context</dc:title>
  <dc:creator/>
  <dc:language>en</dc:language>
  <cp:keywords/>
  <dcterms:created xsi:type="dcterms:W3CDTF">2026-07-29T03:50:25Z</dcterms:created>
  <dcterms:modified xsi:type="dcterms:W3CDTF">2026-07-29T03:50:25Z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