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Catalytic</w:t>
      </w:r>
      <w:r>
        <w:t xml:space="preserve"> </w:t>
      </w:r>
      <w:r>
        <w:t xml:space="preserve">Mechanisms</w:t>
      </w:r>
      <w:r>
        <w:t xml:space="preserve"> </w:t>
      </w:r>
      <w:r>
        <w:t xml:space="preserve">in</w:t>
      </w:r>
      <w:r>
        <w:t xml:space="preserve"> </w:t>
      </w:r>
      <w:r>
        <w:t xml:space="preserve">Sustainable</w:t>
      </w:r>
      <w:r>
        <w:t xml:space="preserve"> </w:t>
      </w:r>
      <w:r>
        <w:t xml:space="preserve">Synthesis</w:t>
      </w:r>
    </w:p>
    <w:bookmarkStart w:id="20" w:name="Xa26abe723b6d46c8678f5e921f18260dc47f744"/>
    <w:p>
      <w:pPr>
        <w:pStyle w:val="Heading1"/>
      </w:pPr>
      <w:r>
        <w:t xml:space="preserve">Eco-Friendly Catalytic Pathways for Next-Generation Pharmaceuticals</w:t>
      </w:r>
    </w:p>
    <w:p>
      <w:pPr>
        <w:pStyle w:val="FirstParagraph"/>
      </w:pPr>
      <w:r>
        <w:rPr>
          <w:bCs/>
          <w:b/>
        </w:rPr>
        <w:t xml:space="preserve">A Poster Presentation Academic Document for the Kyoto International Conference on Chemistry and Materials Science</w:t>
      </w:r>
    </w:p>
    <w:p>
      <w:pPr>
        <w:pStyle w:val="BodyText"/>
      </w:pPr>
      <w:r>
        <w:rPr>
          <w:bCs/>
          <w:b/>
        </w:rPr>
        <w:t xml:space="preserve">Presented by:</w:t>
      </w:r>
      <w:r>
        <w:t xml:space="preserve"> </w:t>
      </w:r>
      <w:r>
        <w:t xml:space="preserve">Dr. Kenjiro Tanaka, Senior Research Fellow</w:t>
      </w:r>
      <w:r>
        <w:br/>
      </w:r>
      <w:r>
        <w:rPr>
          <w:iCs/>
          <w:i/>
        </w:rPr>
        <w:t xml:space="preserve">Institute of Advanced Chemical Research, Kyoto University</w:t>
      </w:r>
      <w:r>
        <w:br/>
      </w:r>
      <w:r>
        <w:rPr>
          <w:iCs/>
          <w:i/>
        </w:rPr>
        <w:t xml:space="preserve">Location: Nishikyo-ku, Kyoto, Japan 615-8520</w:t>
      </w:r>
    </w:p>
    <w:bookmarkEnd w:id="20"/>
    <w:bookmarkStart w:id="21" w:name="introduction-and-contextual-background"/>
    <w:p>
      <w:pPr>
        <w:pStyle w:val="Heading2"/>
      </w:pPr>
      <w:r>
        <w:t xml:space="preserve">1. Introduction and Contextual Background</w:t>
      </w:r>
    </w:p>
    <w:p>
      <w:pPr>
        <w:pStyle w:val="FirstParagraph"/>
      </w:pPr>
      <w:r>
        <w:t xml:space="preserve">The global chemical industry stands at a critical juncture where traditional synthesis methods must evolve to meet stringent environmental regulations and sustainability goals. In this academic poster presentation, we focus on the pivotal role of the modern</w:t>
      </w:r>
      <w:r>
        <w:t xml:space="preserve"> </w:t>
      </w:r>
      <w:r>
        <w:rPr>
          <w:bCs/>
          <w:b/>
        </w:rPr>
        <w:t xml:space="preserve">Chemist</w:t>
      </w:r>
      <w:r>
        <w:t xml:space="preserve"> </w:t>
      </w:r>
      <w:r>
        <w:t xml:space="preserve">in bridging the gap between theoretical organic chemistry and industrial application. Our research is particularly relevant given the hosting context of</w:t>
      </w:r>
      <w:r>
        <w:t xml:space="preserve"> </w:t>
      </w:r>
      <w:r>
        <w:rPr>
          <w:bCs/>
          <w:b/>
        </w:rPr>
        <w:t xml:space="preserve">Japan Kyoto</w:t>
      </w:r>
      <w:r>
        <w:t xml:space="preserve">, a city renowned for its deep historical appreciation for precision, craftsmanship (</w:t>
      </w:r>
      <w:r>
        <w:rPr>
          <w:iCs/>
          <w:i/>
        </w:rPr>
        <w:t xml:space="preserve">kodawari</w:t>
      </w:r>
      <w:r>
        <w:t xml:space="preserve">), and harmony with nature. As we gather in this historic capital to discuss future technologies, it is imperative to reflect on how chemical synthesis can adopt similar principles of efficiency and minimal waste.</w:t>
      </w:r>
    </w:p>
    <w:p>
      <w:pPr>
        <w:pStyle w:val="BodyText"/>
      </w:pPr>
      <w:r>
        <w:t xml:space="preserve">The primary objective of this study is to develop novel catalytic cycles that reduce energy consumption while maximizing yield. By leveraging the rich academic heritage present within</w:t>
      </w:r>
      <w:r>
        <w:t xml:space="preserve"> </w:t>
      </w:r>
      <w:r>
        <w:rPr>
          <w:bCs/>
          <w:b/>
        </w:rPr>
        <w:t xml:space="preserve">Japan Kyoto</w:t>
      </w:r>
      <w:r>
        <w:t xml:space="preserve">, which has long been a center for traditional dyeing processes and fermentation chemistry, we aim to integrate ancient wisdom with cutting-edge computational modeling. This approach not only honors the local culture but also provides a robust framework for solving complex molecular puzzles.</w:t>
      </w:r>
    </w:p>
    <w:bookmarkEnd w:id="21"/>
    <w:bookmarkStart w:id="24" w:name="Xbdd7affe0dd970228a87b45226c76bd8bce052a"/>
    <w:p>
      <w:pPr>
        <w:pStyle w:val="Heading2"/>
      </w:pPr>
      <w:r>
        <w:t xml:space="preserve">2. Methodology: The Role of the Modern Chemist</w:t>
      </w:r>
    </w:p>
    <w:p>
      <w:pPr>
        <w:pStyle w:val="FirstParagraph"/>
      </w:pPr>
      <w:r>
        <w:t xml:space="preserve">The methodology employed in this research highlights the indispensable role of the skilled</w:t>
      </w:r>
      <w:r>
        <w:t xml:space="preserve"> </w:t>
      </w:r>
      <w:r>
        <w:rPr>
          <w:bCs/>
          <w:b/>
        </w:rPr>
        <w:t xml:space="preserve">Chemist</w:t>
      </w:r>
      <w:r>
        <w:t xml:space="preserve">. Unlike previous automated high-throughput screening methods, our approach involves a synergistic combination of artificial intelligence prediction and hands-on experimental validation. This dual-methodology ensures that theoretical possibilities are grounded in physical reality.</w:t>
      </w:r>
    </w:p>
    <w:bookmarkStart w:id="22" w:name="computational-modeling"/>
    <w:p>
      <w:pPr>
        <w:pStyle w:val="Heading3"/>
      </w:pPr>
      <w:r>
        <w:t xml:space="preserve">2.1 Computational Modeling</w:t>
      </w:r>
    </w:p>
    <w:p>
      <w:pPr>
        <w:pStyle w:val="FirstParagraph"/>
      </w:pPr>
      <w:r>
        <w:t xml:space="preserve">We utilized density functional theory (DFT) calculations to predict the transition states of various organocatalytic reactions. The algorithms were trained on datasets derived from historical chemical literature, including many obscure texts preserved in the archives of Kyoto University. This ensures that our models are not only statistically sound but also chemically intuitive.</w:t>
      </w:r>
    </w:p>
    <w:bookmarkEnd w:id="22"/>
    <w:bookmarkStart w:id="23" w:name="experimental-validation"/>
    <w:p>
      <w:pPr>
        <w:pStyle w:val="Heading3"/>
      </w:pPr>
      <w:r>
        <w:t xml:space="preserve">2.2 Experimental Validation</w:t>
      </w:r>
    </w:p>
    <w:p>
      <w:pPr>
        <w:pStyle w:val="FirstParagraph"/>
      </w:pPr>
      <w:r>
        <w:t xml:space="preserve">Synthetic experiments were conducted using state-of-the-art flow chemistry reactors located in our laboratory facilities in</w:t>
      </w:r>
      <w:r>
        <w:t xml:space="preserve"> </w:t>
      </w:r>
      <w:r>
        <w:rPr>
          <w:bCs/>
          <w:b/>
        </w:rPr>
        <w:t xml:space="preserve">Japan Kyoto</w:t>
      </w:r>
      <w:r>
        <w:t xml:space="preserve">. The use of continuous flow technology allows for precise control over reaction conditions such as temperature, pressure, and mixing time. This precision is crucial for the stability of reactive intermediates, a task that requires the acute observational skills characteristic of a master</w:t>
      </w:r>
      <w:r>
        <w:t xml:space="preserve"> </w:t>
      </w:r>
      <w:r>
        <w:rPr>
          <w:bCs/>
          <w:b/>
        </w:rPr>
        <w:t xml:space="preserve">Chemist</w:t>
      </w:r>
      <w:r>
        <w:t xml:space="preserve">.</w:t>
      </w:r>
    </w:p>
    <w:bookmarkEnd w:id="23"/>
    <w:bookmarkEnd w:id="24"/>
    <w:bookmarkStart w:id="25" w:name="results-and-data-analysis"/>
    <w:p>
      <w:pPr>
        <w:pStyle w:val="Heading2"/>
      </w:pPr>
      <w:r>
        <w:t xml:space="preserve">3. Results and Data Analysis</w:t>
      </w:r>
    </w:p>
    <w:p>
      <w:pPr>
        <w:pStyle w:val="FirstParagraph"/>
      </w:pPr>
      <w:r>
        <w:t xml:space="preserve">The results presented in this poster demonstrate a significant breakthrough in green chemistry metrics. Our new catalytic system achieved a turnover number (TON) of over 10,000, significantly higher than existing commercial catalysts. Furthermore, the atom economy was improved by 45%, reducing solvent waste dramatically.</w:t>
      </w:r>
    </w:p>
    <w:p>
      <w:pPr>
        <w:numPr>
          <w:ilvl w:val="0"/>
          <w:numId w:val="1001"/>
        </w:numPr>
        <w:pStyle w:val="Compact"/>
      </w:pPr>
      <w:r>
        <w:rPr>
          <w:bCs/>
          <w:b/>
        </w:rPr>
        <w:t xml:space="preserve">Catalyst Efficiency:</w:t>
      </w:r>
      <w:r>
        <w:t xml:space="preserve"> </w:t>
      </w:r>
      <w:r>
        <w:t xml:space="preserve">The novel palladium-based catalyst showed enhanced activity in aqueous media.</w:t>
      </w:r>
    </w:p>
    <w:p>
      <w:pPr>
        <w:numPr>
          <w:ilvl w:val="0"/>
          <w:numId w:val="1001"/>
        </w:numPr>
        <w:pStyle w:val="Compact"/>
      </w:pPr>
      <w:r>
        <w:rPr>
          <w:bCs/>
          <w:b/>
        </w:rPr>
        <w:t xml:space="preserve">Selectivity:</w:t>
      </w:r>
      <w:r>
        <w:t xml:space="preserve"> </w:t>
      </w:r>
      <w:r>
        <w:t xml:space="preserve">Enantioselectivity exceeded 99% ee, a critical requirement for pharmaceutical applications.</w:t>
      </w:r>
    </w:p>
    <w:p>
      <w:pPr>
        <w:numPr>
          <w:ilvl w:val="0"/>
          <w:numId w:val="1001"/>
        </w:numPr>
        <w:pStyle w:val="Compact"/>
      </w:pPr>
      <w:r>
        <w:rPr>
          <w:bCs/>
          <w:b/>
        </w:rPr>
        <w:t xml:space="preserve">Sustainability Impact:</w:t>
      </w:r>
      <w:r>
        <w:t xml:space="preserve"> </w:t>
      </w:r>
      <w:r>
        <w:t xml:space="preserve">Energy consumption was reduced by 30% due to milder reaction temperatures.</w:t>
      </w:r>
    </w:p>
    <w:p>
      <w:pPr>
        <w:pStyle w:val="FirstParagraph"/>
      </w:pPr>
      <w:r>
        <w:t xml:space="preserve">Data visualization panels (referenced as Figure A and Figure B in the physical poster display) illustrate the correlation between catalyst loading and product yield. These graphs underscore the robustness of our model, suggesting that these findings are reproducible across different scales.</w:t>
      </w:r>
    </w:p>
    <w:bookmarkEnd w:id="25"/>
    <w:bookmarkStart w:id="26" w:name="X04c19058d00c6650d91745c99402cb92f7ba877"/>
    <w:p>
      <w:pPr>
        <w:pStyle w:val="Heading2"/>
      </w:pPr>
      <w:r>
        <w:t xml:space="preserve">4. Discussion: Integrating Tradition and Innovation</w:t>
      </w:r>
    </w:p>
    <w:p>
      <w:pPr>
        <w:pStyle w:val="FirstParagraph"/>
      </w:pPr>
      <w:r>
        <w:t xml:space="preserve">The discussion section of this academic poster presentation emphasizes the cultural and scientific integration unique to presenting in</w:t>
      </w:r>
      <w:r>
        <w:t xml:space="preserve"> </w:t>
      </w:r>
      <w:r>
        <w:rPr>
          <w:bCs/>
          <w:b/>
        </w:rPr>
        <w:t xml:space="preserve">Japan Kyoto</w:t>
      </w:r>
      <w:r>
        <w:t xml:space="preserve">. The city’s landscape, blending ancient temples with modern urban infrastructure, serves as a metaphor for our research philosophy. Just as Kyoto preserves its aesthetic traditions while embracing modernity, chemistry must preserve the core principles of molecular science while adopting sustainable practices.</w:t>
      </w:r>
    </w:p>
    <w:p>
      <w:pPr>
        <w:pStyle w:val="BodyText"/>
      </w:pPr>
      <w:r>
        <w:t xml:space="preserve">The role of the</w:t>
      </w:r>
      <w:r>
        <w:t xml:space="preserve"> </w:t>
      </w:r>
      <w:r>
        <w:rPr>
          <w:bCs/>
          <w:b/>
        </w:rPr>
        <w:t xml:space="preserve">Chemist</w:t>
      </w:r>
      <w:r>
        <w:t xml:space="preserve"> </w:t>
      </w:r>
      <w:r>
        <w:t xml:space="preserve">here is interpreted not just as a producer of materials, but as a steward of resources. In</w:t>
      </w:r>
      <w:r>
        <w:t xml:space="preserve"> </w:t>
      </w:r>
      <w:r>
        <w:rPr>
          <w:bCs/>
          <w:b/>
        </w:rPr>
        <w:t xml:space="preserve">Japan Kyoto</w:t>
      </w:r>
      <w:r>
        <w:t xml:space="preserve">, where water purity and material integrity are culturally paramount, the ethical implications of chemical waste cannot be overstated. Our findings suggest that by adopting catalytic methods that minimize byproducts, we align with the local values of respect for nature (</w:t>
      </w:r>
      <w:r>
        <w:rPr>
          <w:iCs/>
          <w:i/>
        </w:rPr>
        <w:t xml:space="preserve">Shinto</w:t>
      </w:r>
      <w:r>
        <w:t xml:space="preserve"> </w:t>
      </w:r>
      <w:r>
        <w:t xml:space="preserve">influences) and efficient resource management.</w:t>
      </w:r>
    </w:p>
    <w:p>
      <w:pPr>
        <w:pStyle w:val="BodyText"/>
      </w:pPr>
      <w:r>
        <w:t xml:space="preserve">We also discuss the potential for interdisciplinary collaboration. The academic community in</w:t>
      </w:r>
      <w:r>
        <w:t xml:space="preserve"> </w:t>
      </w:r>
      <w:r>
        <w:rPr>
          <w:bCs/>
          <w:b/>
        </w:rPr>
        <w:t xml:space="preserve">Japan Kyoto</w:t>
      </w:r>
      <w:r>
        <w:t xml:space="preserve"> </w:t>
      </w:r>
      <w:r>
        <w:t xml:space="preserve">is known for its rigorous peer review and collaborative spirit. We propose establishing a joint task force between computational chemists and experimentalists to further refine these catalytic pathways, ensuring that the theoretical elegance of the model translates seamlessly into industrial viability.</w:t>
      </w:r>
    </w:p>
    <w:bookmarkEnd w:id="26"/>
    <w:bookmarkStart w:id="27" w:name="conclusion-and-future-directions"/>
    <w:p>
      <w:pPr>
        <w:pStyle w:val="Heading2"/>
      </w:pPr>
      <w:r>
        <w:t xml:space="preserve">5. Conclusion and Future Directions</w:t>
      </w:r>
    </w:p>
    <w:p>
      <w:pPr>
        <w:pStyle w:val="FirstParagraph"/>
      </w:pPr>
      <w:r>
        <w:t xml:space="preserve">In conclusion, this poster presentation outlines a transformative approach to organic synthesis that positions the</w:t>
      </w:r>
      <w:r>
        <w:t xml:space="preserve"> </w:t>
      </w:r>
      <w:r>
        <w:rPr>
          <w:bCs/>
          <w:b/>
        </w:rPr>
        <w:t xml:space="preserve">Chemist</w:t>
      </w:r>
      <w:r>
        <w:t xml:space="preserve"> </w:t>
      </w:r>
      <w:r>
        <w:t xml:space="preserve">as a key agent in the global shift toward sustainability. The methods developed and validated here provide a scalable solution for pharmaceutical manufacturing, reducing environmental footprints without compromising product quality.</w:t>
      </w:r>
    </w:p>
    <w:p>
      <w:pPr>
        <w:pStyle w:val="BodyText"/>
      </w:pPr>
      <w:r>
        <w:t xml:space="preserve">The choice to present this work in</w:t>
      </w:r>
      <w:r>
        <w:t xml:space="preserve"> </w:t>
      </w:r>
      <w:r>
        <w:rPr>
          <w:bCs/>
          <w:b/>
        </w:rPr>
        <w:t xml:space="preserve">Japan Kyoto</w:t>
      </w:r>
      <w:r>
        <w:t xml:space="preserve"> </w:t>
      </w:r>
      <w:r>
        <w:t xml:space="preserve">is strategic. It allows us to engage with an audience that appreciates both the meticulous detail required in chemistry and the broader philosophical implications of technology’s impact on society. Future work will focus on extending these catalytic principles to polymer degradation and biofuel production, sectors where</w:t>
      </w:r>
      <w:r>
        <w:t xml:space="preserve"> </w:t>
      </w:r>
      <w:r>
        <w:rPr>
          <w:bCs/>
          <w:b/>
        </w:rPr>
        <w:t xml:space="preserve">Japan Kyoto</w:t>
      </w:r>
      <w:r>
        <w:t xml:space="preserve"> </w:t>
      </w:r>
      <w:r>
        <w:t xml:space="preserve">is also making significant academic strides.</w:t>
      </w:r>
    </w:p>
    <w:p>
      <w:pPr>
        <w:pStyle w:val="BodyText"/>
      </w:pPr>
      <w:r>
        <w:t xml:space="preserve">We invite fellow attendees, researchers, and industry leaders to discuss the practical implementation of these findings. Let us collaborate to ensure that the next generation of chemical science is as enduring and elegant as the city that hosts it.</w:t>
      </w:r>
    </w:p>
    <w:bookmarkEnd w:id="27"/>
    <w:bookmarkStart w:id="28" w:name="acknowledgments"/>
    <w:p>
      <w:pPr>
        <w:pStyle w:val="Heading2"/>
      </w:pPr>
      <w:r>
        <w:t xml:space="preserve">Acknowledgments</w:t>
      </w:r>
    </w:p>
    <w:p>
      <w:pPr>
        <w:pStyle w:val="FirstParagraph"/>
      </w:pPr>
      <w:r>
        <w:t xml:space="preserve">We gratefully acknowledge the support of the Ministry of Education, Culture, Sports, Science and Technology (MEXT) in Japan. We also thank the local community in</w:t>
      </w:r>
      <w:r>
        <w:t xml:space="preserve"> </w:t>
      </w:r>
      <w:r>
        <w:rPr>
          <w:bCs/>
          <w:b/>
        </w:rPr>
        <w:t xml:space="preserve">Japan Kyoto</w:t>
      </w:r>
      <w:r>
        <w:t xml:space="preserve"> </w:t>
      </w:r>
      <w:r>
        <w:t xml:space="preserve">for their hospitality and insightful feedback during preliminary data reviews. Special thanks to our team of junior researchers who embody the dedication required of every modern</w:t>
      </w:r>
      <w:r>
        <w:t xml:space="preserve"> </w:t>
      </w:r>
      <w:r>
        <w:rPr>
          <w:bCs/>
          <w:b/>
        </w:rPr>
        <w:t xml:space="preserve">Chemist</w:t>
      </w: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Catalytic Mechanisms in Sustainable Synthesis</dc:title>
  <dc:creator/>
  <dc:language>en</dc:language>
  <cp:keywords/>
  <dcterms:created xsi:type="dcterms:W3CDTF">2026-07-29T05:14:22Z</dcterms:created>
  <dcterms:modified xsi:type="dcterms:W3CDTF">2026-07-29T05:14:22Z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