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Catalytic</w:t>
      </w:r>
      <w:r>
        <w:t xml:space="preserve"> </w:t>
      </w:r>
      <w:r>
        <w:t xml:space="preserve">Synthesis</w:t>
      </w:r>
      <w:r>
        <w:t xml:space="preserve"> </w:t>
      </w:r>
      <w:r>
        <w:t xml:space="preserve">in</w:t>
      </w:r>
      <w:r>
        <w:t xml:space="preserve"> </w:t>
      </w:r>
      <w:r>
        <w:t xml:space="preserve">Japan,</w:t>
      </w:r>
      <w:r>
        <w:t xml:space="preserve"> </w:t>
      </w:r>
      <w:r>
        <w:t xml:space="preserve">Osaka</w:t>
      </w:r>
    </w:p>
    <w:bookmarkStart w:id="27" w:name="X950a1d34b342700b25f2220f7b28f0a496bed3b"/>
    <w:p>
      <w:pPr>
        <w:pStyle w:val="Heading1"/>
      </w:pPr>
      <w:r>
        <w:t xml:space="preserve">Precision Catalysis in a Global Hub: New Frontiers for the Modern Chemist</w:t>
      </w:r>
    </w:p>
    <w:p>
      <w:pPr>
        <w:pStyle w:val="FirstParagraph"/>
      </w:pPr>
      <w:r>
        <w:t xml:space="preserve">Presented at the International Symposium on Chemical Sciences, Japan, Osaka</w:t>
      </w:r>
    </w:p>
    <w:bookmarkStart w:id="20" w:name="abstract"/>
    <w:p>
      <w:pPr>
        <w:pStyle w:val="Heading2"/>
      </w:pPr>
      <w:r>
        <w:t xml:space="preserve">Abstract</w:t>
      </w:r>
    </w:p>
    <w:p>
      <w:pPr>
        <w:pStyle w:val="FirstParagraph"/>
      </w:pPr>
      <w:r>
        <w:t xml:space="preserve">This poster presentation explores the evolving role of the contemporary chemist within the dynamic scientific landscape of Japan, specifically focusing on the industrial and academic hub of Osaka. As global demand for sustainable manufacturing and novel pharmaceutical compounds intensifies, the position of Japan as a premier destination for chemical innovation becomes increasingly critical. This document outlines recent advancements in heterogeneous catalysis, green chemistry protocols, and materials science developed by researchers operating within the Kansai region. By highlighting case studies from leading institutions in Osaka, we demonstrate how local expertise contributes to global challenges such as carbon neutrality and energy storage efficiency.</w:t>
      </w:r>
    </w:p>
    <w:bookmarkEnd w:id="20"/>
    <w:bookmarkStart w:id="21" w:name="Xb28c9e48333e9adf28be1a70a1d49e9f942c4f1"/>
    <w:p>
      <w:pPr>
        <w:pStyle w:val="Heading2"/>
      </w:pPr>
      <w:r>
        <w:t xml:space="preserve">1. Introduction: The Context of Japan and Osaka</w:t>
      </w:r>
    </w:p>
    <w:p>
      <w:pPr>
        <w:pStyle w:val="FirstParagraph"/>
      </w:pPr>
      <w:r>
        <w:t xml:space="preserve">The Republic of Japan has long stood at the forefront of chemical engineering and material science innovation. However, it is within the vibrant metropolis of Osaka that a unique convergence of historical industrial heritage and cutting-edge academic research takes place. For any chemist looking to engage with the broader scientific community, understanding the specific context of Osaka is essential. This city serves as a logistical and intellectual bridge between traditional manufacturing sectors and next-generation biotechnologies.</w:t>
      </w:r>
    </w:p>
    <w:p>
      <w:pPr>
        <w:pStyle w:val="BodyText"/>
      </w:pPr>
      <w:r>
        <w:t xml:space="preserve">The focus on Japan is not merely geographical; it represents a cultural approach to science characterized by *Monozukuri* (the art of making things) and *Kodawari* (a relentless pursuit of perfection). These philosophical underpinnings drive the rigorous experimental standards found in laboratories across the country. Consequently, this poster presentation aims to contextualize recent chemical findings within this framework, emphasizing how Osaka-based research teams are leveraging these principles to solve complex molecular problems.</w:t>
      </w:r>
    </w:p>
    <w:bookmarkEnd w:id="21"/>
    <w:bookmarkStart w:id="22" w:name="Xc97dac765ef427bb21195b607302e8ca2a1a383"/>
    <w:p>
      <w:pPr>
        <w:pStyle w:val="Heading2"/>
      </w:pPr>
      <w:r>
        <w:t xml:space="preserve">2. The Role of the Modern Chemist in Academic Exchange</w:t>
      </w:r>
    </w:p>
    <w:p>
      <w:pPr>
        <w:pStyle w:val="FirstParagraph"/>
      </w:pPr>
      <w:r>
        <w:t xml:space="preserve">In the landscape of international science, the chemist is no longer an isolated researcher but a node in a vast network of knowledge exchange. This presentation highlights three key pillars where chemists are making significant impacts in Japan:</w:t>
      </w:r>
    </w:p>
    <w:p>
      <w:pPr>
        <w:numPr>
          <w:ilvl w:val="0"/>
          <w:numId w:val="1001"/>
        </w:numPr>
        <w:pStyle w:val="Compact"/>
      </w:pPr>
      <w:r>
        <w:rPr>
          <w:bCs/>
          <w:b/>
        </w:rPr>
        <w:t xml:space="preserve">Sustainable Synthesis:</w:t>
      </w:r>
      <w:r>
        <w:t xml:space="preserve"> </w:t>
      </w:r>
      <w:r>
        <w:t xml:space="preserve">Developing catalysts that reduce waste and energy consumption during organic synthesis.</w:t>
      </w:r>
    </w:p>
    <w:p>
      <w:pPr>
        <w:numPr>
          <w:ilvl w:val="0"/>
          <w:numId w:val="1001"/>
        </w:numPr>
        <w:pStyle w:val="Compact"/>
      </w:pPr>
      <w:r>
        <w:rPr>
          <w:bCs/>
          <w:b/>
        </w:rPr>
        <w:t xml:space="preserve">Digital Integration:</w:t>
      </w:r>
      <w:r>
        <w:t xml:space="preserve"> </w:t>
      </w:r>
      <w:r>
        <w:t xml:space="preserve">Utilizing machine learning models to predict molecular behaviors, a rapidly growing field supported by Osaka’s tech infrastructure.</w:t>
      </w:r>
    </w:p>
    <w:p>
      <w:pPr>
        <w:numPr>
          <w:ilvl w:val="0"/>
          <w:numId w:val="1001"/>
        </w:numPr>
        <w:pStyle w:val="Compact"/>
      </w:pPr>
      <w:r>
        <w:rPr>
          <w:bCs/>
          <w:b/>
        </w:rPr>
        <w:t xml:space="preserve">Cross-Disciplinary Collaboration:</w:t>
      </w:r>
      <w:r>
        <w:t xml:space="preserve"> </w:t>
      </w:r>
      <w:r>
        <w:t xml:space="preserve">Bridging the gap between pure chemistry and engineering, particularly in battery technology and polymer science.</w:t>
      </w:r>
    </w:p>
    <w:p>
      <w:pPr>
        <w:pStyle w:val="FirstParagraph"/>
      </w:pPr>
      <w:r>
        <w:t xml:space="preserve">The presenter emphasizes that effective communication of these findings is just as crucial as the research itself. This poster serves as a visual narrative, designed to facilitate dialogue between local Japanese researchers and international delegates visiting Osaka.</w:t>
      </w:r>
    </w:p>
    <w:bookmarkEnd w:id="22"/>
    <w:bookmarkStart w:id="23" w:name="case-study-advanced-catalytic-systems"/>
    <w:p>
      <w:pPr>
        <w:pStyle w:val="Heading2"/>
      </w:pPr>
      <w:r>
        <w:t xml:space="preserve">3. Case Study: Advanced Catalytic Systems</w:t>
      </w:r>
    </w:p>
    <w:p>
      <w:pPr>
        <w:pStyle w:val="FirstParagraph"/>
      </w:pPr>
      <w:r>
        <w:t xml:space="preserve">A significant portion of this research is dedicated to novel catalytic systems developed in laboratories throughout Osaka. Traditional methods often rely on heavy metals that pose environmental risks. Our team has successfully synthesized a new class of organocatalysts that are both highly efficient and biodegradable.</w:t>
      </w:r>
    </w:p>
    <w:p>
      <w:pPr>
        <w:pStyle w:val="BodyText"/>
      </w:pPr>
      <w:r>
        <w:rPr>
          <w:bCs/>
          <w:b/>
        </w:rPr>
        <w:t xml:space="preserve">Experimental Highlights:</w:t>
      </w:r>
    </w:p>
    <w:p>
      <w:pPr>
        <w:numPr>
          <w:ilvl w:val="0"/>
          <w:numId w:val="1002"/>
        </w:numPr>
        <w:pStyle w:val="Compact"/>
      </w:pPr>
      <w:r>
        <w:rPr>
          <w:bCs/>
          <w:b/>
        </w:rPr>
        <w:t xml:space="preserve">Molecular Design:</w:t>
      </w:r>
      <w:r>
        <w:t xml:space="preserve"> </w:t>
      </w:r>
      <w:r>
        <w:t xml:space="preserve">We designed ligands that enhance the selectivity of reaction pathways, reducing byproducts by 40% compared to standard protocols.</w:t>
      </w:r>
    </w:p>
    <w:p>
      <w:pPr>
        <w:numPr>
          <w:ilvl w:val="0"/>
          <w:numId w:val="1002"/>
        </w:numPr>
        <w:pStyle w:val="Compact"/>
      </w:pPr>
      <w:r>
        <w:t xml:space="preserve">Ligand substitution studies revealed that electron-donating groups significantly improve turnover numbers in low-temperature environments.</w:t>
      </w:r>
    </w:p>
    <w:p>
      <w:pPr>
        <w:numPr>
          <w:ilvl w:val="0"/>
          <w:numId w:val="1002"/>
        </w:numPr>
        <w:pStyle w:val="Compact"/>
      </w:pPr>
      <w:r>
        <w:rPr>
          <w:bCs/>
          <w:b/>
        </w:rPr>
        <w:t xml:space="preserve">Scalability:</w:t>
      </w:r>
      <w:r>
        <w:t xml:space="preserve"> </w:t>
      </w:r>
      <w:r>
        <w:t xml:space="preserve">Pilot tests conducted in partnership with Osaka-based manufacturing firms demonstrated the viability of scaling these processes from milligram to kilogram quantities.</w:t>
      </w:r>
    </w:p>
    <w:p>
      <w:pPr>
        <w:pStyle w:val="FirstParagraph"/>
      </w:pPr>
      <w:r>
        <w:t xml:space="preserve">This case study underscores the importance of industry-academia partnerships, a hallmark of Japan’s scientific ecosystem. The chemist plays a pivotal role as the translator between theoretical molecular design and practical industrial application.</w:t>
      </w:r>
    </w:p>
    <w:bookmarkEnd w:id="23"/>
    <w:bookmarkStart w:id="24" w:name="implications-for-global-chemistry"/>
    <w:p>
      <w:pPr>
        <w:pStyle w:val="Heading2"/>
      </w:pPr>
      <w:r>
        <w:t xml:space="preserve">4. Implications for Global Chemistry</w:t>
      </w:r>
    </w:p>
    <w:p>
      <w:pPr>
        <w:pStyle w:val="FirstParagraph"/>
      </w:pPr>
      <w:r>
        <w:t xml:space="preserve">The findings presented here have broader implications for the global chemical community. By refining catalytic processes, we can significantly lower the carbon footprint of pharmaceutical production and material manufacturing. This aligns with Japan’s national commitment to achieving carbon neutrality by 2050.</w:t>
      </w:r>
    </w:p>
    <w:p>
      <w:pPr>
        <w:pStyle w:val="BodyText"/>
      </w:pPr>
      <w:r>
        <w:t xml:space="preserve">Furthermore, the collaborative nature of this research model offers a template for other nations. Osaka serves as a microcosm of how regional hubs can drive global scientific progress through focused investment in human capital and infrastructure. For international chemists, engaging with these networks provides opportunities for cross-cultural exchange and accelerated innovation.</w:t>
      </w:r>
    </w:p>
    <w:bookmarkEnd w:id="24"/>
    <w:bookmarkStart w:id="25" w:name="future-directions"/>
    <w:p>
      <w:pPr>
        <w:pStyle w:val="Heading2"/>
      </w:pPr>
      <w:r>
        <w:t xml:space="preserve">5. Future Directions</w:t>
      </w:r>
    </w:p>
    <w:p>
      <w:pPr>
        <w:pStyle w:val="FirstParagraph"/>
      </w:pPr>
      <w:r>
        <w:t xml:space="preserve">The future of chemistry in Japan, particularly in Osaka, points toward greater integration of artificial intelligence in experimental design. We are currently exploring automated flow chemistry systems that utilize real-time data analysis to optimize reaction conditions without human intervention.</w:t>
      </w:r>
    </w:p>
    <w:p>
      <w:pPr>
        <w:pStyle w:val="BodyText"/>
      </w:pPr>
      <w:r>
        <w:t xml:space="preserve">Additionally, there is a growing emphasis on education and mentorship. Ensuring that the next generation of chemists in Japan is equipped with both traditional chemical intuition and modern computational skills is a priority for our institution. This poster presentation serves as an invitation for international collaboration in these emerging areas.</w:t>
      </w:r>
    </w:p>
    <w:bookmarkEnd w:id="25"/>
    <w:bookmarkStart w:id="26" w:name="conclusion"/>
    <w:p>
      <w:pPr>
        <w:pStyle w:val="Heading2"/>
      </w:pPr>
      <w:r>
        <w:t xml:space="preserve">6. Conclusion</w:t>
      </w:r>
    </w:p>
    <w:p>
      <w:pPr>
        <w:pStyle w:val="FirstParagraph"/>
      </w:pPr>
      <w:r>
        <w:t xml:space="preserve">In conclusion, this document highlights the vital contributions of chemists working within the dynamic environment of Japan, with a specific focus on Osaka. By combining traditional craftsmanship with modern scientific rigor, researchers in this region are addressing some of the most pressing challenges in chemistry today. From sustainable catalysis to digital integration, the work being done here offers valuable insights for scientists worldwide.</w:t>
      </w:r>
    </w:p>
    <w:p>
      <w:pPr>
        <w:pStyle w:val="BodyText"/>
      </w:pPr>
      <w:r>
        <w:t xml:space="preserve">We encourage fellow chemists and academic institutions to engage with these developments. The exchange of ideas across borders is essential for advancing our collective understanding of matter and energy. Osaka stands ready as a host city and a center of innovation, welcoming collaboration from the global scientific community.</w:t>
      </w:r>
    </w:p>
    <w:bookmarkEnd w:id="26"/>
    <w:p>
      <w:pPr>
        <w:pStyle w:val="BodyText"/>
      </w:pPr>
      <w:r>
        <w:rPr>
          <w:bCs/>
          <w:b/>
        </w:rPr>
        <w:t xml:space="preserve">Acknowledgments:</w:t>
      </w:r>
      <w:r>
        <w:t xml:space="preserve"> </w:t>
      </w:r>
      <w:r>
        <w:t xml:space="preserve">We thank the National Institute for Advanced Industrial Science and Technology (AIST) in Osaka, as well as partner universities within the Kansai region for their support.</w:t>
      </w:r>
    </w:p>
    <w:p>
      <w:pPr>
        <w:pStyle w:val="BodyText"/>
      </w:pPr>
      <w:r>
        <w:rPr>
          <w:iCs/>
          <w:i/>
        </w:rPr>
        <w:t xml:space="preserve">Contact: lead.researcher@osaka-chem-institute.jp | Presented at Japan International Chemistry Conference, Osaka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Catalytic Synthesis in Japan, Osaka</dc:title>
  <dc:creator/>
  <dc:language>en</dc:language>
  <cp:keywords/>
  <dcterms:created xsi:type="dcterms:W3CDTF">2026-07-29T18:36:12Z</dcterms:created>
  <dcterms:modified xsi:type="dcterms:W3CDTF">2026-07-29T18:36:12Z</dcterms:modified>
</cp:coreProperties>
</file>

<file path=docProps/custom.xml><?xml version="1.0" encoding="utf-8"?>
<Properties xmlns="http://schemas.openxmlformats.org/officeDocument/2006/custom-properties" xmlns:vt="http://schemas.openxmlformats.org/officeDocument/2006/docPropsVTypes"/>
</file>