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Ambient</w:t>
      </w:r>
      <w:r>
        <w:t xml:space="preserve"> </w:t>
      </w:r>
      <w:r>
        <w:t xml:space="preserve">Catalysis</w:t>
      </w:r>
      <w:r>
        <w:t xml:space="preserve"> </w:t>
      </w:r>
      <w:r>
        <w:t xml:space="preserve">and</w:t>
      </w:r>
      <w:r>
        <w:t xml:space="preserve"> </w:t>
      </w:r>
      <w:r>
        <w:t xml:space="preserve">Sustainable</w:t>
      </w:r>
      <w:r>
        <w:t xml:space="preserve"> </w:t>
      </w:r>
      <w:r>
        <w:t xml:space="preserve">Synthesis</w:t>
      </w:r>
      <w:r>
        <w:t xml:space="preserve"> </w:t>
      </w:r>
      <w:r>
        <w:t xml:space="preserve">in</w:t>
      </w:r>
      <w:r>
        <w:t xml:space="preserve"> </w:t>
      </w:r>
      <w:r>
        <w:t xml:space="preserve">Urban</w:t>
      </w:r>
      <w:r>
        <w:t xml:space="preserve"> </w:t>
      </w:r>
      <w:r>
        <w:t xml:space="preserve">Environments:</w:t>
      </w:r>
      <w:r>
        <w:t xml:space="preserve"> </w:t>
      </w:r>
      <w:r>
        <w:t xml:space="preserve">A</w:t>
      </w:r>
      <w:r>
        <w:t xml:space="preserve"> </w:t>
      </w:r>
      <w:r>
        <w:t xml:space="preserve">Chemist’s</w:t>
      </w:r>
      <w:r>
        <w:t xml:space="preserve"> </w:t>
      </w:r>
      <w:r>
        <w:t xml:space="preserve">Perspective</w:t>
      </w:r>
      <w:r>
        <w:t xml:space="preserve"> </w:t>
      </w:r>
      <w:r>
        <w:t xml:space="preserve">on</w:t>
      </w:r>
      <w:r>
        <w:t xml:space="preserve"> </w:t>
      </w:r>
      <w:r>
        <w:t xml:space="preserve">Madrid's</w:t>
      </w:r>
      <w:r>
        <w:t xml:space="preserve"> </w:t>
      </w:r>
      <w:r>
        <w:t xml:space="preserve">Industrial</w:t>
      </w:r>
      <w:r>
        <w:t xml:space="preserve"> </w:t>
      </w:r>
      <w:r>
        <w:t xml:space="preserve">Landscape</w:t>
      </w:r>
    </w:p>
    <w:bookmarkStart w:id="20" w:name="Xb087cb36e39b73f4df79ea6b8f5a257907501f1"/>
    <w:p>
      <w:pPr>
        <w:pStyle w:val="Heading1"/>
      </w:pPr>
      <w:r>
        <w:t xml:space="preserve">Ambient Catalysis and Sustainable Synthesis in Urban Environments</w:t>
      </w:r>
    </w:p>
    <w:p>
      <w:pPr>
        <w:pStyle w:val="FirstParagraph"/>
      </w:pPr>
      <w:r>
        <w:rPr>
          <w:bCs/>
          <w:b/>
        </w:rPr>
        <w:t xml:space="preserve">Focusing on the Chemical Industry Dynamics in Spain, Madrid</w:t>
      </w:r>
    </w:p>
    <w:p>
      <w:pPr>
        <w:pStyle w:val="BodyText"/>
      </w:pPr>
      <w:r>
        <w:rPr>
          <w:iCs/>
          <w:i/>
        </w:rPr>
        <w:t xml:space="preserve">Dr. Elena Rodriguez-Garcia, Senior Research Chemist</w:t>
      </w:r>
      <w:r>
        <w:br/>
      </w:r>
      <w:r>
        <w:rPr>
          <w:iCs/>
          <w:i/>
        </w:rPr>
        <w:t xml:space="preserve">Institute of Advanced Materials Science &amp; Industrial Chemistry</w:t>
      </w:r>
      <w:r>
        <w:br/>
      </w:r>
      <w:r>
        <w:rPr>
          <w:iCs/>
          <w:i/>
        </w:rPr>
        <w:t xml:space="preserve">Madrid, Spain</w:t>
      </w:r>
    </w:p>
    <w:bookmarkEnd w:id="20"/>
    <w:bookmarkStart w:id="21" w:name="abstract"/>
    <w:p>
      <w:pPr>
        <w:pStyle w:val="Heading3"/>
      </w:pPr>
      <w:r>
        <w:t xml:space="preserve">Abstract</w:t>
      </w:r>
    </w:p>
    <w:p>
      <w:pPr>
        <w:pStyle w:val="FirstParagraph"/>
      </w:pPr>
      <w:r>
        <w:t xml:space="preserve">This poster presentation explores the intersection of advanced synthetic chemistry and sustainable industrial practices within the specific geographical and economic context of Madrid, Spain. As a leading hub for chemical research in Southern Europe, Madrid presents unique opportunities for Chemists to address environmental challenges through innovative catalytic processes. This study analyzes recent data from laboratories across Spain’s capital, focusing on green chemistry principles applied to pharmaceutical manufacturing and polymer synthesis. The findings suggest that localized implementation of ambient temperature catalysis can reduce energy consumption by 35% while maintaining high yield rates, offering a scalable model for other urban industrial zones in Europe.</w:t>
      </w:r>
    </w:p>
    <w:bookmarkEnd w:id="21"/>
    <w:bookmarkStart w:id="22" w:name="X9a9393ec5dc6abd3e344bdf5e00394455f9289a"/>
    <w:p>
      <w:pPr>
        <w:pStyle w:val="Heading2"/>
      </w:pPr>
      <w:r>
        <w:t xml:space="preserve">1. Introduction: The Role of the Modern Chemist</w:t>
      </w:r>
    </w:p>
    <w:p>
      <w:pPr>
        <w:pStyle w:val="FirstParagraph"/>
      </w:pPr>
      <w:r>
        <w:t xml:space="preserve">The role of the modern Chemist has evolved significantly from traditional laboratory-based synthesis to one that integrates environmental stewardship, industrial efficiency, and regulatory compliance. In Spain Madrid, this transformation is particularly evident due to the city's status as a major economic and scientific center in Europe. The local chemical industry faces increasing pressure to adhere to strict European Union environmental directives while maintaining competitiveness.</w:t>
      </w:r>
    </w:p>
    <w:p>
      <w:pPr>
        <w:pStyle w:val="BodyText"/>
      </w:pPr>
      <w:r>
        <w:t xml:space="preserve">This presentation aims to bridge the gap between theoretical chemistry and practical application within the Madrid metropolitan area. By examining case studies from three prominent research institutions in Spain, we highlight how Chemists are redefining industrial standards. The focus is not merely on creating new compounds but on optimizing existing processes to minimize waste, energy usage, and toxic byproducts.</w:t>
      </w:r>
    </w:p>
    <w:bookmarkEnd w:id="22"/>
    <w:bookmarkStart w:id="23" w:name="methodology-green-chemistry-protocols"/>
    <w:p>
      <w:pPr>
        <w:pStyle w:val="Heading2"/>
      </w:pPr>
      <w:r>
        <w:t xml:space="preserve">2. Methodology: Green Chemistry Protocols</w:t>
      </w:r>
    </w:p>
    <w:p>
      <w:pPr>
        <w:pStyle w:val="FirstParagraph"/>
      </w:pPr>
      <w:r>
        <w:t xml:space="preserve">To achieve sustainable outcomes, our research team adopted a multi-phase methodology centered on the twelve principles of Green Chemistry. The study involved:</w:t>
      </w:r>
    </w:p>
    <w:p>
      <w:pPr>
        <w:numPr>
          <w:ilvl w:val="0"/>
          <w:numId w:val="1001"/>
        </w:numPr>
        <w:pStyle w:val="Compact"/>
      </w:pPr>
      <w:r>
        <w:rPr>
          <w:bCs/>
          <w:b/>
        </w:rPr>
        <w:t xml:space="preserve">Catalyst Development:</w:t>
      </w:r>
      <w:r>
        <w:t xml:space="preserve"> </w:t>
      </w:r>
      <w:r>
        <w:t xml:space="preserve">Designing heterogeneous catalysts that operate efficiently at ambient temperatures and pressures.</w:t>
      </w:r>
    </w:p>
    <w:p>
      <w:pPr>
        <w:numPr>
          <w:ilvl w:val="0"/>
          <w:numId w:val="1001"/>
        </w:numPr>
        <w:pStyle w:val="Compact"/>
      </w:pPr>
      <w:r>
        <w:rPr>
          <w:bCs/>
          <w:b/>
        </w:rPr>
        <w:t xml:space="preserve">Solvent Replacement:</w:t>
      </w:r>
      <w:r>
        <w:t xml:space="preserve"> </w:t>
      </w:r>
      <w:r>
        <w:t xml:space="preserve">Substituting volatile organic compounds (VOCs) with bio-based solvents derived from local Spanish agricultural resources, such as citrus waste.</w:t>
      </w:r>
    </w:p>
    <w:p>
      <w:pPr>
        <w:numPr>
          <w:ilvl w:val="0"/>
          <w:numId w:val="1001"/>
        </w:numPr>
        <w:pStyle w:val="Compact"/>
      </w:pPr>
      <w:r>
        <w:rPr>
          <w:bCs/>
          <w:b/>
        </w:rPr>
        <w:t xml:space="preserve">Lifecycle Assessment:</w:t>
      </w:r>
      <w:r>
        <w:t xml:space="preserve"> </w:t>
      </w:r>
      <w:r>
        <w:t xml:space="preserve">Conducting rigorous lifecycle analyses for each synthetic route to ensure that the environmental footprint is minimized from raw material extraction to final product disposal.</w:t>
      </w:r>
    </w:p>
    <w:p>
      <w:pPr>
        <w:pStyle w:val="FirstParagraph"/>
      </w:pPr>
      <w:r>
        <w:t xml:space="preserve">Data was collected over a period of 18 months across various pilot plants located in Madrid’s technological parks. These sites represent a microcosm of the broader chemical landscape in Spain, offering diverse challenges ranging from pharmaceutical intermediates to biodegradable polymers.</w:t>
      </w:r>
    </w:p>
    <w:bookmarkEnd w:id="23"/>
    <w:bookmarkStart w:id="24" w:name="results-and-data-analysis"/>
    <w:p>
      <w:pPr>
        <w:pStyle w:val="Heading2"/>
      </w:pPr>
      <w:r>
        <w:t xml:space="preserve">3. Results and Data Analysis</w:t>
      </w:r>
    </w:p>
    <w:p>
      <w:pPr>
        <w:pStyle w:val="FirstParagraph"/>
      </w:pPr>
      <w:r>
        <w:t xml:space="preserve">The results indicate a significant improvement in process efficiency when applying the proposed green protocols. Specifically, the use of metal-organic frameworks (MOFs) as catalysts resulted in a 40% increase in reaction selectivity compared to traditional homogeneous catalysts.</w:t>
      </w:r>
    </w:p>
    <w:p>
      <w:pPr>
        <w:pStyle w:val="BodyText"/>
      </w:pPr>
      <w:r>
        <w:t xml:space="preserve">Metric</w:t>
      </w:r>
    </w:p>
    <w:bookmarkEnd w:id="24"/>
    <w:p>
      <w:pPr>
        <w:pStyle w:val="BodyText"/>
      </w:pPr>
      <w:r>
        <w:t xml:space="preserve">Traditional Process</w:t>
      </w:r>
    </w:p>
    <w:p>
      <w:pPr>
        <w:pStyle w:val="BodyText"/>
      </w:pPr>
      <w:r>
        <w:t xml:space="preserve">New Green Methodology</w:t>
      </w:r>
    </w:p>
    <w:p>
      <w:pPr>
        <w:pStyle w:val="BodyText"/>
      </w:pPr>
      <w:r>
        <w:t xml:space="preserve">% Improvement</w:t>
      </w:r>
    </w:p>
    <w:p>
      <w:pPr>
        <w:pStyle w:val="BodyText"/>
      </w:pPr>
      <w:r>
        <w:t xml:space="preserve">Energy Consumption (kWh/kg)</w:t>
      </w:r>
    </w:p>
    <w:p>
      <w:pPr>
        <w:pStyle w:val="BodyText"/>
      </w:pPr>
      <w:r>
        <w:t xml:space="preserve"> 450 </w:t>
      </w:r>
    </w:p>
    <w:p>
      <w:pPr>
        <w:pStyle w:val="BodyText"/>
      </w:pPr>
      <w:r>
        <w:t xml:space="preserve"> 290 </w:t>
      </w:r>
    </w:p>
    <w:p>
      <w:pPr>
        <w:pStyle w:val="BodyText"/>
      </w:pPr>
      <w:r>
        <w:t xml:space="preserve"> -35% </w:t>
      </w:r>
    </w:p>
    <w:p>
      <w:pPr>
        <w:pStyle w:val="BodyText"/>
      </w:pPr>
      <w:r>
        <w:t xml:space="preserve">E-Waste Factor</w:t>
      </w:r>
    </w:p>
    <w:p>
      <w:pPr>
        <w:pStyle w:val="BodyText"/>
      </w:pPr>
      <w:r>
        <w:t xml:space="preserve">1.2 kg/kg product</w:t>
      </w:r>
    </w:p>
    <w:p>
      <w:pPr>
        <w:pStyle w:val="BodyText"/>
      </w:pPr>
      <w:r>
        <w:t xml:space="preserve">$0.4$ kg/kg product</w:t>
      </w:r>
    </w:p>
    <w:p>
      <w:pPr>
        <w:pStyle w:val="BodyText"/>
      </w:pPr>
      <w:r>
        <w:t xml:space="preserve">Catalyst Reusability (Cycles)</w:t>
      </w:r>
    </w:p>
    <w:p>
      <w:pPr>
        <w:pStyle w:val="BodyText"/>
      </w:pPr>
      <w:r>
        <w:t xml:space="preserve"> 3 </w:t>
      </w:r>
    </w:p>
    <w:p>
      <w:pPr>
        <w:pStyle w:val="BodyText"/>
      </w:pPr>
      <w:r>
        <w:t xml:space="preserve">Solvent Toxicity Index</w:t>
      </w:r>
    </w:p>
    <w:p>
      <w:pPr>
        <w:pStyle w:val="BodyText"/>
      </w:pPr>
      <w:r>
        <w:t xml:space="preserve">$8.5$ (High)</w:t>
      </w:r>
    </w:p>
    <w:p>
      <w:pPr>
        <w:pStyle w:val="BodyText"/>
      </w:pPr>
      <w:r>
        <w:t xml:space="preserve">$2.1$ (Low)</w:t>
      </w:r>
    </w:p>
    <w:p>
      <w:pPr>
        <w:pStyle w:val="BodyText"/>
      </w:pPr>
      <w:r>
        <w:br/>
      </w:r>
    </w:p>
    <w:bookmarkStart w:id="25" w:name="key-findings"/>
    <w:p>
      <w:pPr>
        <w:pStyle w:val="Heading3"/>
      </w:pPr>
      <w:r>
        <w:t xml:space="preserve">Key Findings:</w:t>
      </w:r>
    </w:p>
    <w:p>
      <w:pPr>
        <w:pStyle w:val="FirstParagraph"/>
      </w:pPr>
      <w:r>
        <w:t xml:space="preserve">The integration of bio-based solvents not only reduced toxicity but also lowered the cost of raw materials by leveraging local supply chains in Spain. Furthermore, the reusability of MOF catalysts exceeded expectations, lasting up to 15 cycles without significant loss in activity. This durability is crucial for industrial scalability and reduces the need for frequent catalyst replacement.</w:t>
      </w:r>
    </w:p>
    <w:bookmarkEnd w:id="25"/>
    <w:bookmarkStart w:id="28" w:name="case-studies-from-madrid"/>
    <w:p>
      <w:pPr>
        <w:pStyle w:val="Heading2"/>
      </w:pPr>
      <w:r>
        <w:t xml:space="preserve">4. Case Studies from Madrid</w:t>
      </w:r>
    </w:p>
    <w:p>
      <w:pPr>
        <w:pStyle w:val="FirstParagraph"/>
      </w:pPr>
      <w:r>
        <w:t xml:space="preserve">To contextualize these findings, we present two specific case studies conducted in Madrid:</w:t>
      </w:r>
    </w:p>
    <w:bookmarkStart w:id="26" w:name="X03835a64333a172afb6dec707952ed71d173a18"/>
    <w:p>
      <w:pPr>
        <w:pStyle w:val="Heading3"/>
      </w:pPr>
      <w:r>
        <w:t xml:space="preserve">Case Study A: Pharmaceutical Intermediate Synthesis</w:t>
      </w:r>
    </w:p>
    <w:p>
      <w:pPr>
        <w:pStyle w:val="FirstParagraph"/>
      </w:pPr>
      <w:r>
        <w:t xml:space="preserve">A leading pharmaceutical company in the Usera district of Madrid partnered with our team to optimize the synthesis of an active pharmaceutical ingredient (API). By switching to a continuous flow chemistry setup powered by green catalysts, they reduced their solvent usage by 60%. This case study demonstrates how Chemists can directly impact large-scale manufacturing processes.</w:t>
      </w:r>
    </w:p>
    <w:bookmarkEnd w:id="26"/>
    <w:bookmarkStart w:id="27" w:name="X481f6c70353e6158c455984b3ae886a3604258d"/>
    <w:p>
      <w:pPr>
        <w:pStyle w:val="Heading3"/>
      </w:pPr>
      <w:r>
        <w:t xml:space="preserve">Case Study B: Biodegradable Polymer Production</w:t>
      </w:r>
    </w:p>
    <w:p>
      <w:pPr>
        <w:pStyle w:val="FirstParagraph"/>
      </w:pPr>
      <w:r>
        <w:t xml:space="preserve">In the Alcobendas technological park, a startup specializing in bioplastics utilized our methods to enhance the polymerization rate of polylactic acid (PLA). The ambient catalysis approach allowed for lower processing temperatures, which preserved the mechanical properties of the plastic while significantly reducing energy costs.</w:t>
      </w:r>
    </w:p>
    <w:bookmarkEnd w:id="27"/>
    <w:bookmarkEnd w:id="28"/>
    <w:bookmarkStart w:id="29" w:name="discussion-implications-for-spain-madrid"/>
    <w:p>
      <w:pPr>
        <w:pStyle w:val="Heading2"/>
      </w:pPr>
      <w:r>
        <w:t xml:space="preserve">5. Discussion: Implications for Spain Madrid</w:t>
      </w:r>
    </w:p>
    <w:p>
      <w:pPr>
        <w:pStyle w:val="FirstParagraph"/>
      </w:pPr>
      <w:r>
        <w:t xml:space="preserve">The success of these initiatives highlights the potential for Madrid to become a model city for sustainable chemical industries in Europe. The presence of strong academic institutions, such as the Autonomous University of Madrid and the Technical University of Madrid, provides a robust talent pool for Chemists. Moreover, government incentives in Spain aimed at decarbonizing industry support this transition.</w:t>
      </w:r>
    </w:p>
    <w:p>
      <w:pPr>
        <w:pStyle w:val="BodyText"/>
      </w:pPr>
      <w:r>
        <w:t xml:space="preserve">However, challenges remain. Regulatory hurdles regarding novel catalyst approvals can be slow. Additionally, there is a need for greater collaboration between academia and industry to ensure that research outcomes are rapidly translated into commercial applications. The unique geographical position of Madrid as a central hub in Spain allows for efficient distribution of green chemicals throughout the Iberian Peninsula.</w:t>
      </w:r>
    </w:p>
    <w:bookmarkEnd w:id="29"/>
    <w:bookmarkStart w:id="30" w:name="conclusion"/>
    <w:p>
      <w:pPr>
        <w:pStyle w:val="Heading2"/>
      </w:pPr>
      <w:r>
        <w:t xml:space="preserve">6. Conclusion</w:t>
      </w:r>
    </w:p>
    <w:p>
      <w:pPr>
        <w:pStyle w:val="FirstParagraph"/>
      </w:pPr>
      <w:r>
        <w:t xml:space="preserve">This poster presentation underscores the critical role that Chemists play in shaping a sustainable future for industrial cities like Madrid, Spain. By adopting green chemistry principles and leveraging local resources, we have demonstrated that environmental sustainability and economic viability are not mutually exclusive but rather complementary goals.</w:t>
      </w:r>
    </w:p>
    <w:p>
      <w:pPr>
        <w:pStyle w:val="BodyText"/>
      </w:pPr>
      <w:r>
        <w:t xml:space="preserve">The data presented shows clear benefits in energy reduction, waste minimization, and process efficiency. As we move forward, it is imperative for policymakers, industry leaders, and researchers in Spain to continue fostering an environment where innovation in chemistry thrives. The model established here serves as a blueprint for other urban centers seeking to balance industrial growth with ecological responsibility.</w:t>
      </w:r>
    </w:p>
    <w:bookmarkEnd w:id="30"/>
    <w:bookmarkStart w:id="31" w:name="future-directions"/>
    <w:p>
      <w:pPr>
        <w:pStyle w:val="Heading2"/>
      </w:pPr>
      <w:r>
        <w:t xml:space="preserve">7. Future Directions</w:t>
      </w:r>
    </w:p>
    <w:p>
      <w:pPr>
        <w:numPr>
          <w:ilvl w:val="0"/>
          <w:numId w:val="1002"/>
        </w:numPr>
        <w:pStyle w:val="Compact"/>
      </w:pPr>
      <w:r>
        <w:rPr>
          <w:bCs/>
          <w:b/>
        </w:rPr>
        <w:t xml:space="preserve">Digital Integration:</w:t>
      </w:r>
    </w:p>
    <w:p>
      <w:pPr>
        <w:numPr>
          <w:ilvl w:val="0"/>
          <w:numId w:val="1002"/>
        </w:numPr>
        <w:pStyle w:val="Compact"/>
      </w:pPr>
      <w:r>
        <w:t xml:space="preserve">Nano-Catalysis:</w:t>
      </w:r>
    </w:p>
    <w:p>
      <w:pPr>
        <w:pStyle w:val="FirstParagraph"/>
      </w:pPr>
      <w:r>
        <w:br/>
      </w:r>
    </w:p>
    <w:p>
      <w:pPr>
        <w:pStyle w:val="BodyText"/>
      </w:pPr>
      <w:r>
        <w:t xml:space="preserve">We plan to explore the use of artificial intelligence to predict catalyst performance further, optimizing reaction conditions in real-time. Additionally, research into nano-catalysts with enhanced surface areas will be prioritized to maximize efficiency.</w:t>
      </w:r>
    </w:p>
    <w:bookmarkEnd w:id="31"/>
    <w:bookmarkStart w:id="32" w:name="references-and-acknowledgments"/>
    <w:p>
      <w:pPr>
        <w:pStyle w:val="Heading2"/>
      </w:pPr>
      <w:r>
        <w:t xml:space="preserve">8. References and Acknowledgments</w:t>
      </w:r>
    </w:p>
    <w:p>
      <w:pPr>
        <w:pStyle w:val="FirstParagraph"/>
      </w:pPr>
      <w:r>
        <w:t xml:space="preserve">This work was supported by the Spanish Ministry of Science and Innovation and the Madrid Regional Government’s Department of Economy. We thank all participating industrial partners in Spain for their collaboration.</w:t>
      </w:r>
    </w:p>
    <w:p>
      <w:pPr>
        <w:numPr>
          <w:ilvl w:val="0"/>
          <w:numId w:val="1003"/>
        </w:numPr>
        <w:pStyle w:val="Compact"/>
      </w:pPr>
      <w:r>
        <w:t xml:space="preserve">Garcia, E., et al. (2023). *Green Solvents in Urban Industry*. Journal of Sustainable Chemistry, 12(4), 112-130.</w:t>
      </w:r>
    </w:p>
    <w:p>
      <w:pPr>
        <w:numPr>
          <w:ilvl w:val="0"/>
          <w:numId w:val="1003"/>
        </w:numPr>
        <w:pStyle w:val="Compact"/>
      </w:pPr>
      <w:r>
        <w:t xml:space="preserve">Martinez, J., &amp; Lopez, A. (2024). *Catalytic Efficiency in Ambient Conditions*. Madrid: Universidad Complutense Press.</w:t>
      </w:r>
    </w:p>
    <w:p>
      <w:pPr>
        <w:numPr>
          <w:ilvl w:val="0"/>
          <w:numId w:val="1003"/>
        </w:numPr>
        <w:pStyle w:val="Compact"/>
      </w:pPr>
      <w:r>
        <w:t xml:space="preserve">Eurostat Data on Industrial Energy Consumption in Southern Europe (2023).</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Ambient Catalysis and Sustainable Synthesis in Urban Environments: A Chemist’s Perspective on Madrid's Industrial Landscape</dc:title>
  <dc:creator/>
  <dc:language>en</dc:language>
  <cp:keywords/>
  <dcterms:created xsi:type="dcterms:W3CDTF">2026-07-29T18:32:34Z</dcterms:created>
  <dcterms:modified xsi:type="dcterms:W3CDTF">2026-07-29T18:32:34Z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