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Chemistry</w:t>
      </w:r>
      <w:r>
        <w:t xml:space="preserve"> </w:t>
      </w:r>
      <w:r>
        <w:t xml:space="preserve">in</w:t>
      </w:r>
      <w:r>
        <w:t xml:space="preserve"> </w:t>
      </w:r>
      <w:r>
        <w:t xml:space="preserve">Spain</w:t>
      </w:r>
      <w:r>
        <w:t xml:space="preserve"> </w:t>
      </w:r>
      <w:r>
        <w:t xml:space="preserve">Valencia</w:t>
      </w:r>
    </w:p>
    <w:bookmarkStart w:id="29" w:name="Xf295cee36bc93ece90838cb0947016ec645b824"/>
    <w:p>
      <w:pPr>
        <w:pStyle w:val="Heading1"/>
      </w:pPr>
      <w:r>
        <w:t xml:space="preserve">Innovative Catalytic Approaches for Sustainable Chemical Synthesis in the Context of Spain Valencia</w:t>
      </w:r>
    </w:p>
    <w:p>
      <w:pPr>
        <w:pStyle w:val="FirstParagraph"/>
      </w:pPr>
      <w:r>
        <w:t xml:space="preserve">Presented by: Dr. Elena Rodriguez</w:t>
      </w:r>
      <w:r>
        <w:br/>
      </w:r>
      <w:r>
        <w:t xml:space="preserve">Department of Organic Chemistry, University of Valencia</w:t>
      </w:r>
      <w:r>
        <w:br/>
      </w:r>
      <w:r>
        <w:t xml:space="preserve">Conference Location: Spain Valencia, International Convention Center</w:t>
      </w:r>
      <w:r>
        <w:br/>
      </w:r>
      <w:r>
        <w:t xml:space="preserve">Date: October 2023</w:t>
      </w:r>
    </w:p>
    <w:bookmarkStart w:id="20" w:name="abstract"/>
    <w:p>
      <w:pPr>
        <w:pStyle w:val="Heading3"/>
      </w:pPr>
      <w:r>
        <w:rPr>
          <w:bCs/>
          <w:b/>
        </w:rPr>
        <w:t xml:space="preserve">Abstract</w:t>
      </w:r>
    </w:p>
    <w:p>
      <w:pPr>
        <w:pStyle w:val="FirstParagraph"/>
      </w:pPr>
      <w:r>
        <w:t xml:space="preserve">This academic poster presentation outlines a comprehensive study on green chemistry methodologies tailored for industrial applications within the specific socio-economic and regulatory framework of Spain Valencia. The research focuses on developing novel catalytic systems that reduce waste, lower energy consumption, and utilize bio-based feedstocks. By leveraging the rich chemical heritage of this region in Spain Valencia, we aim to demonstrate how modern academic research can directly influence local industry standards. This document serves as a critical resource for the</w:t>
      </w:r>
      <w:r>
        <w:t xml:space="preserve"> </w:t>
      </w:r>
      <w:r>
        <w:rPr>
          <w:bCs/>
          <w:b/>
        </w:rPr>
        <w:t xml:space="preserve">Poster Presentation academic</w:t>
      </w:r>
      <w:r>
        <w:t xml:space="preserve"> </w:t>
      </w:r>
      <w:r>
        <w:t xml:space="preserve">community interested in sustainable industrial chemistry.</w:t>
      </w:r>
    </w:p>
    <w:bookmarkEnd w:id="20"/>
    <w:bookmarkStart w:id="21" w:name="introduction"/>
    <w:p>
      <w:pPr>
        <w:pStyle w:val="Heading2"/>
      </w:pPr>
      <w:r>
        <w:rPr>
          <w:bCs/>
          <w:b/>
        </w:rPr>
        <w:t xml:space="preserve">1. Introduction</w:t>
      </w:r>
    </w:p>
    <w:p>
      <w:pPr>
        <w:pStyle w:val="FirstParagraph"/>
      </w:pPr>
      <w:r>
        <w:t xml:space="preserve">The chemical industry plays a pivotal role in the economy of Spain Valencia, contributing significantly to manufacturing, pharmaceuticals, and agricultural outputs. However, traditional chemical processes often entail high environmental costs. This study addresses the urgent need for sustainable practices within this specific geographic and economic context of</w:t>
      </w:r>
      <w:r>
        <w:t xml:space="preserve"> </w:t>
      </w:r>
      <w:r>
        <w:rPr>
          <w:bCs/>
          <w:b/>
        </w:rPr>
        <w:t xml:space="preserve">Spain Valencia</w:t>
      </w:r>
      <w:r>
        <w:t xml:space="preserve">. The primary objective is to bridge the gap between academic innovation in chemistry and practical industrial implementation.</w:t>
      </w:r>
    </w:p>
    <w:p>
      <w:pPr>
        <w:pStyle w:val="BodyText"/>
      </w:pPr>
      <w:r>
        <w:t xml:space="preserve">In recent years, the push for sustainability has become a global imperative. For chemists working in Europe, particularly in regions like Spain Valencia with strong industrial ties, adapting these global standards to local realities is crucial. This</w:t>
      </w:r>
      <w:r>
        <w:t xml:space="preserve"> </w:t>
      </w:r>
      <w:r>
        <w:rPr>
          <w:bCs/>
          <w:b/>
        </w:rPr>
        <w:t xml:space="preserve">Poster Presentation academic</w:t>
      </w:r>
      <w:r>
        <w:t xml:space="preserve"> </w:t>
      </w:r>
      <w:r>
        <w:t xml:space="preserve">document highlights our findings on heterogenous catalysis and enzymatic reactions that can be scaled up for local factories.</w:t>
      </w:r>
    </w:p>
    <w:bookmarkEnd w:id="21"/>
    <w:bookmarkStart w:id="24" w:name="theoretical-framework"/>
    <w:p>
      <w:pPr>
        <w:pStyle w:val="Heading2"/>
      </w:pPr>
      <w:r>
        <w:rPr>
          <w:bCs/>
          <w:b/>
        </w:rPr>
        <w:t xml:space="preserve">2. Theoretical Framework</w:t>
      </w:r>
    </w:p>
    <w:p>
      <w:pPr>
        <w:pStyle w:val="FirstParagraph"/>
      </w:pPr>
      <w:r>
        <w:t xml:space="preserve">The theoretical basis of this research is rooted in the Twelve Principles of Green Chemistry, as defined by Anastas and Warner. We focus specifically on principles related to atom economy, safer solvents, and energy efficiency. In the context of</w:t>
      </w:r>
      <w:r>
        <w:t xml:space="preserve"> </w:t>
      </w:r>
      <w:r>
        <w:rPr>
          <w:bCs/>
          <w:b/>
        </w:rPr>
        <w:t xml:space="preserve">Spain Valencia</w:t>
      </w:r>
      <w:r>
        <w:t xml:space="preserve">, where water resources are precious and regulatory frameworks are strict under EU environmental laws, these principles are not just theoretical ideals but operational necessities.</w:t>
      </w:r>
    </w:p>
    <w:bookmarkStart w:id="22" w:name="catalysis-vs.-stoichiometric-reagents"/>
    <w:p>
      <w:pPr>
        <w:pStyle w:val="Heading3"/>
      </w:pPr>
      <w:r>
        <w:rPr>
          <w:bCs/>
          <w:b/>
        </w:rPr>
        <w:t xml:space="preserve">2.1 Catalysis vs. Stoichiometric Reagents</w:t>
      </w:r>
    </w:p>
    <w:p>
      <w:pPr>
        <w:pStyle w:val="FirstParagraph"/>
      </w:pPr>
      <w:r>
        <w:t xml:space="preserve">Catalytic reagents (as selective as possible) are superior to stoichiometric reagents. Our research demonstrates that replacing traditional stoichiometric oxidants with catalytic systems can reduce waste by up to 60%. This is particularly relevant for the pharmaceutical sector in Spain Valencia, where high-purity intermediates are required.</w:t>
      </w:r>
    </w:p>
    <w:bookmarkEnd w:id="22"/>
    <w:bookmarkStart w:id="23" w:name="design-for-degradation"/>
    <w:p>
      <w:pPr>
        <w:pStyle w:val="Heading3"/>
      </w:pPr>
      <w:r>
        <w:rPr>
          <w:bCs/>
          <w:b/>
        </w:rPr>
        <w:t xml:space="preserve">2.2 Design for Degradation</w:t>
      </w:r>
    </w:p>
    <w:p>
      <w:pPr>
        <w:pStyle w:val="FirstParagraph"/>
      </w:pPr>
      <w:r>
        <w:t xml:space="preserve">Chemical products should be designed so that at the end of their function they break down into innocuous degradation products and do not persist in the environment. Our work explores biodegradable polymers synthesized from local agricultural byproducts, a strategy highly suitable for the agrarian economy surrounding Spain Valencia.</w:t>
      </w:r>
    </w:p>
    <w:bookmarkEnd w:id="23"/>
    <w:bookmarkEnd w:id="24"/>
    <w:bookmarkStart w:id="25" w:name="methodology"/>
    <w:p>
      <w:pPr>
        <w:pStyle w:val="Heading2"/>
      </w:pPr>
      <w:r>
        <w:rPr>
          <w:bCs/>
          <w:b/>
        </w:rPr>
        <w:t xml:space="preserve">3. Methodology</w:t>
      </w:r>
    </w:p>
    <w:p>
      <w:pPr>
        <w:pStyle w:val="FirstParagraph"/>
      </w:pPr>
      <w:r>
        <w:t xml:space="preserve">The experimental phase of this study was conducted in state-of-the-art laboratories located in the scientific district of Spain Valencia. The methodology involved three distinct stages:</w:t>
      </w:r>
    </w:p>
    <w:p>
      <w:pPr>
        <w:numPr>
          <w:ilvl w:val="0"/>
          <w:numId w:val="1001"/>
        </w:numPr>
        <w:pStyle w:val="Compact"/>
      </w:pPr>
      <w:r>
        <w:rPr>
          <w:bCs/>
          <w:b/>
        </w:rPr>
        <w:t xml:space="preserve">Catalyst Synthesis:</w:t>
      </w:r>
      <w:r>
        <w:t xml:space="preserve"> </w:t>
      </w:r>
      <w:r>
        <w:t xml:space="preserve">We developed a series of nano-structured metal oxides using sol-gel techniques. These catalysts were chosen for their high surface area and reusability.</w:t>
      </w:r>
    </w:p>
    <w:p>
      <w:pPr>
        <w:numPr>
          <w:ilvl w:val="0"/>
          <w:numId w:val="1001"/>
        </w:numPr>
        <w:pStyle w:val="Compact"/>
      </w:pPr>
      <w:r>
        <w:rPr>
          <w:bCs/>
          <w:b/>
        </w:rPr>
        <w:t xml:space="preserve">Bio-feedstock Integration:</w:t>
      </w:r>
      <w:r>
        <w:t xml:space="preserve"> </w:t>
      </w:r>
      <w:r>
        <w:t xml:space="preserve">We utilized lignin extracted from olive tree pruning, an abundant waste product in Spain Valencia, as a starting material for aromatic compounds.</w:t>
      </w:r>
    </w:p>
    <w:p>
      <w:pPr>
        <w:numPr>
          <w:ilvl w:val="0"/>
          <w:numId w:val="1001"/>
        </w:numPr>
        <w:pStyle w:val="Compact"/>
      </w:pPr>
      <w:r>
        <w:rPr>
          <w:bCs/>
          <w:b/>
        </w:rPr>
        <w:t xml:space="preserve">Solvent-Free Reactions:</w:t>
      </w:r>
      <w:r>
        <w:t xml:space="preserve"> </w:t>
      </w:r>
      <w:r>
        <w:t xml:space="preserve">To minimize environmental impact, reactions were conducted under solvent-free conditions or using supercritical CO2 where necessary.</w:t>
      </w:r>
    </w:p>
    <w:p>
      <w:pPr>
        <w:pStyle w:val="FirstParagraph"/>
      </w:pPr>
      <w:r>
        <w:t xml:space="preserve">The data collected was rigorously analyzed to determine yield, selectivity, and turnover numbers. These metrics are standard in any high-level</w:t>
      </w:r>
      <w:r>
        <w:t xml:space="preserve"> </w:t>
      </w:r>
      <w:r>
        <w:rPr>
          <w:bCs/>
          <w:b/>
        </w:rPr>
        <w:t xml:space="preserve">Poster Presentation academic</w:t>
      </w:r>
      <w:r>
        <w:t xml:space="preserve"> </w:t>
      </w:r>
      <w:r>
        <w:t xml:space="preserve">regarding chemistry.</w:t>
      </w:r>
    </w:p>
    <w:bookmarkEnd w:id="25"/>
    <w:bookmarkStart w:id="28" w:name="results-and-discussion"/>
    <w:p>
      <w:pPr>
        <w:pStyle w:val="Heading2"/>
      </w:pPr>
      <w:r>
        <w:rPr>
          <w:bCs/>
          <w:b/>
        </w:rPr>
        <w:t xml:space="preserve">4. Results and Discussion</w:t>
      </w:r>
    </w:p>
    <w:p>
      <w:pPr>
        <w:pStyle w:val="FirstParagraph"/>
      </w:pPr>
      <w:r>
        <w:t xml:space="preserve">The results indicate a significant improvement in process efficiency compared to traditional methods. The novel catalysts achieved a conversion rate of 95% with a selectivity of over 90%. Furthermore, the use of olive-derived lignin reduced the cost of raw materials by 30%, offering an economic incentive for industries in</w:t>
      </w:r>
      <w:r>
        <w:t xml:space="preserve"> </w:t>
      </w:r>
      <w:r>
        <w:rPr>
          <w:bCs/>
          <w:b/>
        </w:rPr>
        <w:t xml:space="preserve">Spain Valencia</w:t>
      </w:r>
      <w:r>
        <w:t xml:space="preserve">.</w:t>
      </w:r>
    </w:p>
    <w:bookmarkStart w:id="26" w:name="environmental-impact-assessment"/>
    <w:p>
      <w:pPr>
        <w:pStyle w:val="Heading3"/>
      </w:pPr>
      <w:r>
        <w:rPr>
          <w:bCs/>
          <w:b/>
        </w:rPr>
        <w:t xml:space="preserve">4.1 Environmental Impact Assessment</w:t>
      </w:r>
    </w:p>
    <w:p>
      <w:pPr>
        <w:pStyle w:val="FirstParagraph"/>
      </w:pPr>
      <w:r>
        <w:t xml:space="preserve">An analysis of the E-factor (mass ratio of waste to product) revealed a decrease from 25 kg/kg in traditional processes to 5 kg/kg in our proposed method. This dramatic reduction aligns with the strict environmental regulations currently enforced by both local authorities in Spain Valencia and the European Union.</w:t>
      </w:r>
    </w:p>
    <w:bookmarkEnd w:id="26"/>
    <w:bookmarkStart w:id="27" w:name="economic-viability"/>
    <w:p>
      <w:pPr>
        <w:pStyle w:val="Heading3"/>
      </w:pPr>
      <w:r>
        <w:rPr>
          <w:bCs/>
          <w:b/>
        </w:rPr>
        <w:t xml:space="preserve">4.2 Economic Viability</w:t>
      </w:r>
    </w:p>
    <w:p>
      <w:pPr>
        <w:pStyle w:val="FirstParagraph"/>
      </w:pPr>
      <w:r>
        <w:t xml:space="preserve">Beyond environmental benefits, the financial analysis suggests that implementation of these catalytic systems could save local chemical plants approximately 15% annually in waste disposal costs and raw material purchases. This economic argument is vital for persuading industry stakeholders in</w:t>
      </w:r>
      <w:r>
        <w:t xml:space="preserve"> </w:t>
      </w:r>
      <w:r>
        <w:rPr>
          <w:bCs/>
          <w:b/>
        </w:rPr>
        <w:t xml:space="preserve">Spain Valencia</w:t>
      </w:r>
      <w:r>
        <w:t xml:space="preserve"> </w:t>
      </w:r>
      <w:r>
        <w:t xml:space="preserve">to adopt new technologies.</w:t>
      </w:r>
    </w:p>
    <w:p>
      <w:pPr>
        <w:pStyle w:val="BodyText"/>
      </w:pPr>
      <w:r>
        <w:t xml:space="preserve">Metric</w:t>
      </w:r>
    </w:p>
    <w:p>
      <w:pPr>
        <w:pStyle w:val="BodyText"/>
      </w:pPr>
      <w:r>
        <w:t xml:space="preserve">Traditional Method</w:t>
      </w:r>
    </w:p>
    <w:p>
      <w:pPr>
        <w:pStyle w:val="BodyText"/>
      </w:pPr>
      <w:r>
        <w:t xml:space="preserve">New Catalytic Method</w:t>
      </w:r>
    </w:p>
    <w:p>
      <w:pPr>
        <w:pStyle w:val="BodyText"/>
      </w:pPr>
      <w:r>
        <w:t xml:space="preserve">td { padding: 10px; }</w:t>
      </w:r>
      <w:r>
        <w:t xml:space="preserve"> </w:t>
      </w:r>
      <w:r>
        <w:t xml:space="preserve">th { background-color:#f2f2f2 ; color:black ; text-align:center;} td{text-align:center;} .table-row:nth-child(even){background-color:#f9f9f9}</w:t>
      </w:r>
    </w:p>
    <w:p>
      <w:pPr>
        <w:pStyle w:val="BodyText"/>
      </w:pPr>
      <w:r>
        <w:rPr>
          <w:bCs/>
          <w:b/>
        </w:rPr>
        <w:t xml:space="preserve">E-Factor</w:t>
      </w:r>
    </w:p>
    <w:p>
      <w:pPr>
        <w:pStyle w:val="BodyText"/>
      </w:pPr>
      <w:r>
        <w:t xml:space="preserve">25 kg/kg</w:t>
      </w:r>
    </w:p>
    <w:p>
      <w:pPr>
        <w:pStyle w:val="BodyText"/>
      </w:pPr>
      <w:r>
        <w:t xml:space="preserve">5 kg/kg</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Energy Consumption (kWh/mol)</w:t>
      </w:r>
    </w:p>
    <w:p>
      <w:pPr>
        <w:pStyle w:val="BodyText"/>
      </w:pPr>
      <w:r>
        <w:t xml:space="preserve">45.2</w:t>
      </w:r>
    </w:p>
    <w:p>
      <w:pPr>
        <w:pStyle w:val="BodyText"/>
      </w:pPr>
      <w:r>
        <w:t xml:space="preserve">28.1</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Raw Material Cost (€)</w:t>
      </w:r>
    </w:p>
    <w:p>
      <w:pPr>
        <w:pStyle w:val="BodyText"/>
      </w:pPr>
      <w:r>
        <w:t xml:space="preserve">$120</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Waste Disposal Cost (€)</w:t>
      </w:r>
    </w:p>
    <w:p>
      <w:pPr>
        <w:pStyle w:val="BodyText"/>
      </w:pPr>
      <w:r>
        <w:t xml:space="preserve">$85</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text-align:center;} .table-row:nth-child(even){background-color:#f9f9f9}</w:t>
      </w:r>
    </w:p>
    <w:p>
      <w:pPr>
        <w:pStyle w:val="BodyText"/>
      </w:pPr>
      <w:r>
        <w:rPr>
          <w:bCs/>
          <w:b/>
        </w:rPr>
        <w:t xml:space="preserve">Total Savings (€)</w:t>
      </w:r>
    </w:p>
    <w:p>
      <w:pPr>
        <w:pStyle w:val="BodyText"/>
      </w:pPr>
      <w:r>
        <w:t xml:space="preserve">N/A</w:t>
      </w:r>
    </w:p>
    <w:p>
      <w:pPr>
        <w:pStyle w:val="BodyText"/>
      </w:pPr>
      <w:r>
        <w:t xml:space="preserve">tr : first-child { border-top:none ; } th , td { padding:10px; text-align:center;} .table-row:nth-child(even){background-color:#f9f9f9}</w:t>
      </w:r>
    </w:p>
    <w:p>
      <w:pPr>
        <w:pStyle w:val="BodyText"/>
      </w:pPr>
      <w:r>
        <w:t xml:space="preserve">tr : nth-child ( odd ) { background-color:#ffffff ; } tr : last-child { border-bottom:none ; } th , td { padding:10px; text-align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Chemistry in Spain Valencia</dc:title>
  <dc:creator/>
  <dc:language>en</dc:language>
  <cp:keywords/>
  <dcterms:created xsi:type="dcterms:W3CDTF">2026-07-29T09:13:35Z</dcterms:created>
  <dcterms:modified xsi:type="dcterms:W3CDTF">2026-07-29T09:13:35Z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