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3d46ddc24f0a3fc03bfae6b277b382edf0b665f"/>
    <w:p>
      <w:pPr>
        <w:pStyle w:val="Heading1"/>
      </w:pPr>
      <w:r>
        <w:t xml:space="preserve">The Chemist in United Kingdom Birmingham:</w:t>
      </w:r>
      <w:r>
        <w:br/>
      </w:r>
      <w:r>
        <w:t xml:space="preserve">Advancing Sustainable Catalysis and Green Chemistry</w:t>
      </w:r>
    </w:p>
    <w:p>
      <w:pPr>
        <w:pStyle w:val="FirstParagraph"/>
      </w:pPr>
      <w:r>
        <w:t xml:space="preserve">Presented at the Royal Society of Chemistry Annual Conference</w:t>
      </w:r>
      <w:r>
        <w:br/>
      </w:r>
      <w:r>
        <w:t xml:space="preserve">Venue: The University of Birmingham, UK</w:t>
      </w:r>
      <w:r>
        <w:br/>
      </w:r>
      <w:r>
        <w:t xml:space="preserve">Prepared by: Academic Research Team on Industrial Organic Synthesis</w:t>
      </w:r>
    </w:p>
    <w:bookmarkStart w:id="20" w:name="abstract"/>
    <w:p>
      <w:pPr>
        <w:pStyle w:val="Heading2"/>
      </w:pPr>
      <w:r>
        <w:t xml:space="preserve">Abstract</w:t>
      </w:r>
    </w:p>
    <w:p>
      <w:pPr>
        <w:pStyle w:val="FirstParagraph"/>
      </w:pPr>
      <w:r>
        <w:t xml:space="preserve">The role of the modern chemist extends far beyond the laboratory bench; it encompasses a critical responsibility to drive innovation while adhering to stringent environmental and economic standards. This poster presentation focuses on recent breakthroughs in sustainable catalytic methodologies developed within the vibrant academic and industrial ecosystem of United Kingdom Birmingham. As a global hub for advanced manufacturing and chemical research, Birmingham provides a unique backdrop for examining how local expertise contributes to national goals regarding carbon neutrality. The study highlights novel heterogeneous catalysts that reduce energy consumption by 40% during organic synthesis, demonstrating the pivotal role of the chemist in shaping a greener future.</w:t>
      </w:r>
    </w:p>
    <w:bookmarkEnd w:id="20"/>
    <w:bookmarkStart w:id="21" w:name="introduction"/>
    <w:p>
      <w:pPr>
        <w:pStyle w:val="Heading2"/>
      </w:pPr>
      <w:r>
        <w:t xml:space="preserve">1. Introduction</w:t>
      </w:r>
    </w:p>
    <w:p>
      <w:pPr>
        <w:pStyle w:val="FirstParagraph"/>
      </w:pPr>
      <w:r>
        <w:t xml:space="preserve">The landscape of chemical science is undergoing a paradigm shift. Historically, industrial chemistry prioritized yield and efficiency above all else, often at significant environmental cost. Today, the chemist is tasked with re-engineering these processes to align with the principles of Green Chemistry as defined by Anastas and Warner. In United Kingdom Birmingham, this transition is particularly evident due to the city’s rich history in metalworking and chemical manufacturing combined with its status as a major academic center.</w:t>
      </w:r>
    </w:p>
    <w:p>
      <w:pPr>
        <w:pStyle w:val="BodyText"/>
      </w:pPr>
      <w:r>
        <w:t xml:space="preserve">Birmingham has long been recognized as a cradle of industrial innovation. From the historical developments in nickel catalysis to modern advancements in pharmaceutical synthesis, the region hosts some of the most prestigious institutions for chemical education and research. This poster aims to contextualize current findings within this specific geographical and institutional framework, illustrating how local chemists are addressing global challenges related to pollution, resource depletion, and energy efficiency.</w:t>
      </w:r>
    </w:p>
    <w:bookmarkEnd w:id="21"/>
    <w:bookmarkStart w:id="26" w:name="methodological-framework"/>
    <w:p>
      <w:pPr>
        <w:pStyle w:val="Heading2"/>
      </w:pPr>
      <w:r>
        <w:t xml:space="preserve">2. Methodological Framework</w:t>
      </w:r>
    </w:p>
    <w:p>
      <w:pPr>
        <w:pStyle w:val="FirstParagraph"/>
      </w:pPr>
      <w:r>
        <w:t xml:space="preserve">To achieve sustainable outcomes without compromising chemical efficacy, the research team employed a multi-faceted approach involving computational chemistry and experimental validation. The methodology was designed to test three primary variables: catalyst recyclability, reaction temperature thresholds, and solvent toxicity.</w:t>
      </w:r>
    </w:p>
    <w:bookmarkStart w:id="22" w:name="computational-modelling"/>
    <w:p>
      <w:pPr>
        <w:pStyle w:val="Heading3"/>
      </w:pPr>
      <w:r>
        <w:t xml:space="preserve">Computational Modelling</w:t>
      </w:r>
    </w:p>
    <w:p>
      <w:pPr>
        <w:pStyle w:val="FirstParagraph"/>
      </w:pPr>
      <w:r>
        <w:t xml:space="preserve">All initial screening processes were conducted using Density Functional Theory (DFT) calculations. By simulating the electronic interactions between reactants and various metal-organic frameworks, we identified potential active sites that would facilitate bond formation at lower temperatures.</w:t>
      </w:r>
    </w:p>
    <w:bookmarkEnd w:id="22"/>
    <w:bookmarkStart w:id="23" w:name="synthesis-protocols"/>
    <w:p>
      <w:pPr>
        <w:pStyle w:val="Heading3"/>
      </w:pPr>
      <w:r>
        <w:t xml:space="preserve">Synthesis Protocols</w:t>
      </w:r>
    </w:p>
    <w:p>
      <w:pPr>
        <w:pStyle w:val="FirstParagraph"/>
      </w:pPr>
      <w:r>
        <w:t xml:space="preserve">The physical synthesis of the catalysts took place in specialized laboratories within Birmingham. We utilized sol-gel techniques to create high-surface-area supports for palladium nanoparticles, ensuring maximal dispersion and stability.</w:t>
      </w:r>
    </w:p>
    <w:bookmarkEnd w:id="23"/>
    <w:bookmarkStart w:id="24" w:name="evaluation-metrics"/>
    <w:p>
      <w:pPr>
        <w:pStyle w:val="Heading3"/>
      </w:pPr>
      <w:r>
        <w:t xml:space="preserve">Evaluation Metrics</w:t>
      </w:r>
    </w:p>
    <w:p>
      <w:pPr>
        <w:pStyle w:val="FirstParagraph"/>
      </w:pPr>
      <w:r>
        <w:t xml:space="preserve">The performance of each catalyst was evaluated based on the E-factor (Environmental Factor), a key metric in green chemistry that measures the amount of waste generated per unit of product. Furthermore, Life Cycle Assessment (LCA) data was collected to determine the total carbon footprint associated with the manufacturing and disposal phases.</w:t>
      </w:r>
    </w:p>
    <w:bookmarkEnd w:id="24"/>
    <w:bookmarkStart w:id="25" w:name="collaborative-partnerships"/>
    <w:p>
      <w:pPr>
        <w:pStyle w:val="Heading3"/>
      </w:pPr>
      <w:r>
        <w:t xml:space="preserve">Collaborative Partnerships</w:t>
      </w:r>
    </w:p>
    <w:p>
      <w:pPr>
        <w:pStyle w:val="FirstParagraph"/>
      </w:pPr>
      <w:r>
        <w:t xml:space="preserve">A crucial aspect of this study was the collaboration between academic chemists in United Kingdom Birmingham and industry partners. This synergy allowed for real-world validation of laboratory results, ensuring that the findings are applicable on a commercial scale.</w:t>
      </w:r>
    </w:p>
    <w:bookmarkEnd w:id="25"/>
    <w:bookmarkEnd w:id="26"/>
    <w:bookmarkStart w:id="27" w:name="key-findings"/>
    <w:p>
      <w:pPr>
        <w:pStyle w:val="Heading2"/>
      </w:pPr>
      <w:r>
        <w:t xml:space="preserve">3. Key Findings</w:t>
      </w:r>
    </w:p>
    <w:p>
      <w:pPr>
        <w:pStyle w:val="FirstParagraph"/>
      </w:pPr>
      <w:r>
        <w:t xml:space="preserve">The experimental data yielded significant improvements over traditional homogeneous catalysis methods. The novel heterogeneous catalyst demonstrated a turnover frequency (TOF) increase of 65% compared to standard benchmarks. Additionally, the recyclability of the catalyst was proven to be robust, maintaining 90% efficiency after five consecutive cycles without significant leaching of metal ions.</w:t>
      </w:r>
    </w:p>
    <w:p>
      <w:pPr>
        <w:pStyle w:val="BodyText"/>
      </w:pPr>
      <w:r>
        <w:t xml:space="preserve">Metric</w:t>
      </w:r>
    </w:p>
    <w:p>
      <w:pPr>
        <w:pStyle w:val="BodyText"/>
      </w:pPr>
      <w:r>
        <w:t xml:space="preserve">Traditional Method</w:t>
      </w:r>
    </w:p>
    <w:p>
      <w:pPr>
        <w:pStyle w:val="BodyText"/>
      </w:pPr>
      <w:r>
        <w:t xml:space="preserve">New Catalytic Process</w:t>
      </w:r>
    </w:p>
    <w:p>
      <w:pPr>
        <w:pStyle w:val="BodyText"/>
      </w:pPr>
      <w:r>
        <w:t xml:space="preserve">E-Factor (kg waste/kg product)</w:t>
      </w:r>
    </w:p>
    <w:p>
      <w:pPr>
        <w:pStyle w:val="BodyText"/>
      </w:pPr>
      <w:r>
        <w:t xml:space="preserve">25.0 kg/kg</w:t>
      </w:r>
    </w:p>
    <w:p>
      <w:pPr>
        <w:pStyle w:val="BodyText"/>
      </w:pPr>
      <w:r>
        <w:t xml:space="preserve">4.5 kg/kg</w:t>
      </w:r>
    </w:p>
    <w:p>
      <w:pPr>
        <w:pStyle w:val="BodyText"/>
      </w:pPr>
      <w:r>
        <w:t xml:space="preserve">Average Reaction Temperature (°C)</w:t>
      </w:r>
    </w:p>
    <w:p>
      <w:pPr>
        <w:pStyle w:val="BodyText"/>
      </w:pPr>
      <w:r>
        <w:t xml:space="preserve">180 °C</w:t>
      </w:r>
    </w:p>
    <w:p>
      <w:pPr>
        <w:pStyle w:val="BodyText"/>
      </w:pPr>
      <w:r>
        <w:t xml:space="preserve">95 °C</w:t>
      </w:r>
    </w:p>
    <w:p>
      <w:pPr>
        <w:pStyle w:val="BodyText"/>
      </w:pPr>
      <w:r>
        <w:t xml:space="preserve">Catalyst Recyclability (Cycles)</w:t>
      </w:r>
    </w:p>
    <w:p>
      <w:pPr>
        <w:pStyle w:val="BodyText"/>
      </w:pPr>
      <w:r>
        <w:t xml:space="preserve">Single Use</w:t>
      </w:r>
    </w:p>
    <w:p>
      <w:pPr>
        <w:pStyle w:val="BodyText"/>
      </w:pPr>
      <w:r>
        <w:t xml:space="preserve">5+ Cycles</w:t>
      </w:r>
    </w:p>
    <w:p>
      <w:pPr>
        <w:pStyle w:val="BodyText"/>
      </w:pPr>
      <w:r>
        <w:t xml:space="preserve">Emissions Profile (CO2 eq)</w:t>
      </w:r>
    </w:p>
    <w:p>
      <w:pPr>
        <w:pStyle w:val="BodyText"/>
      </w:pPr>
      <w:r>
        <w:t xml:space="preserve">High</w:t>
      </w:r>
    </w:p>
    <w:p>
      <w:pPr>
        <w:pStyle w:val="BodyText"/>
      </w:pPr>
      <w:r>
        <w:t xml:space="preserve">Low</w:t>
      </w:r>
    </w:p>
    <w:bookmarkEnd w:id="27"/>
    <w:bookmarkStart w:id="28" w:name="X99d6ae49b5840482122103c81879b306e46c803"/>
    <w:p>
      <w:pPr>
        <w:pStyle w:val="Heading2"/>
      </w:pPr>
      <w:r>
        <w:t xml:space="preserve">4. Discussion: The Chemist in Birmingham's Context</w:t>
      </w:r>
    </w:p>
    <w:p>
      <w:pPr>
        <w:pStyle w:val="FirstParagraph"/>
      </w:pPr>
      <w:r>
        <w:t xml:space="preserve">The implications of these findings are profound, particularly for the chemical sector in United Kingdom Birmingham. The city is home to a dense network of small and medium-sized enterprises (SMEs) specializing in fine chemicals and pharmaceutical intermediates. For these businesses, the ability to reduce waste disposal costs and energy bills while improving product quality is not merely an environmental imperative but a competitive necessity.</w:t>
      </w:r>
    </w:p>
    <w:p>
      <w:pPr>
        <w:pStyle w:val="BodyText"/>
      </w:pPr>
      <w:r>
        <w:t xml:space="preserve">The chemist plays a dual role in this ecosystem. Firstly, as a scientist, they must innovate new molecular architectures that are inherently safer and more efficient. Secondly, as an industry advisor, they must guide process engineers in scaling up these reactions safely and legally within the UK regulatory framework. Birmingham’s strong ties to both the University of Birmingham and Aston University provide a fertile ground for this knowledge transfer.</w:t>
      </w:r>
    </w:p>
    <w:p>
      <w:pPr>
        <w:pStyle w:val="BodyText"/>
      </w:pPr>
      <w:r>
        <w:t xml:space="preserve">Furthermore, the cultural emphasis on sustainability in United Kingdom Birmingham aligns with broader national strategies outlined by UK Research and Innovation (UKRI). By focusing on local challenges—such as treating industrial wastewater or optimizing pharmaceutical pipelines—local chemists contribute to global solutions. The data presented here suggests that adopting these catalytic methods could save the regional chemical industry an estimated £2 million annually in waste management costs alone, while reducing carbon emissions by a comparable percentage.</w:t>
      </w:r>
    </w:p>
    <w:bookmarkEnd w:id="28"/>
    <w:bookmarkStart w:id="29" w:name="conclusion"/>
    <w:p>
      <w:pPr>
        <w:pStyle w:val="Heading2"/>
      </w:pPr>
      <w:r>
        <w:t xml:space="preserve">5. Conclusion</w:t>
      </w:r>
    </w:p>
    <w:p>
      <w:pPr>
        <w:pStyle w:val="FirstParagraph"/>
      </w:pPr>
      <w:r>
        <w:t xml:space="preserve">This poster presentation underscores the transformative potential of sustainable chemistry within the specific context of United Kingdom Birmingham. By leveraging advanced computational tools and robust experimental techniques, the modern chemist can develop processes that are economically viable and environmentally responsible.</w:t>
      </w:r>
    </w:p>
    <w:p>
      <w:pPr>
        <w:numPr>
          <w:ilvl w:val="0"/>
          <w:numId w:val="1001"/>
        </w:numPr>
        <w:pStyle w:val="Compact"/>
      </w:pPr>
      <w:r>
        <w:rPr>
          <w:bCs/>
          <w:b/>
        </w:rPr>
        <w:t xml:space="preserve">Sustainability:</w:t>
      </w:r>
      <w:r>
        <w:t xml:space="preserve"> </w:t>
      </w:r>
      <w:r>
        <w:t xml:space="preserve">The new catalyst significantly lowers waste generation (E-factor) and energy consumption.</w:t>
      </w:r>
    </w:p>
    <w:p>
      <w:pPr>
        <w:numPr>
          <w:ilvl w:val="0"/>
          <w:numId w:val="1001"/>
        </w:numPr>
        <w:pStyle w:val="Compact"/>
      </w:pPr>
      <w:r>
        <w:rPr>
          <w:bCs/>
          <w:b/>
        </w:rPr>
        <w:t xml:space="preserve">Economic Impact:</w:t>
      </w:r>
      <w:r>
        <w:t xml:space="preserve"> </w:t>
      </w:r>
      <w:r>
        <w:t xml:space="preserve">Local industries in Birmingham stand to benefit from reduced operational costs.</w:t>
      </w:r>
    </w:p>
    <w:p>
      <w:pPr>
        <w:numPr>
          <w:ilvl w:val="0"/>
          <w:numId w:val="1001"/>
        </w:numPr>
        <w:pStyle w:val="Compact"/>
      </w:pPr>
      <w:r>
        <w:rPr>
          <w:bCs/>
          <w:b/>
        </w:rPr>
        <w:t xml:space="preserve">Innovation Pipeline:</w:t>
      </w:r>
      <w:r>
        <w:t xml:space="preserve"> </w:t>
      </w:r>
      <w:r>
        <w:t xml:space="preserve">Strong academic-industry partnerships ensure that theoretical chemistry translates into practical, real-world applications.</w:t>
      </w:r>
    </w:p>
    <w:p>
      <w:pPr>
        <w:pStyle w:val="FirstParagraph"/>
      </w:pPr>
      <w:r>
        <w:t xml:space="preserve">The future of chemistry in the region depends on continued investment in research and development, fostering an environment where chemists are empowered to challenge traditional methodologies. As we move forward, the focus must remain on integrating these green technologies into mainstream production across United Kingdom Birmingham.</w:t>
      </w:r>
    </w:p>
    <w:bookmarkEnd w:id="29"/>
    <w:bookmarkStart w:id="31" w:name="acknowledgments-future-directions"/>
    <w:p>
      <w:pPr>
        <w:pStyle w:val="Heading2"/>
      </w:pPr>
      <w:r>
        <w:t xml:space="preserve">6. Acknowledgments &amp; Future Directions</w:t>
      </w:r>
    </w:p>
    <w:p>
      <w:pPr>
        <w:pStyle w:val="FirstParagraph"/>
      </w:pPr>
      <w:r>
        <w:t xml:space="preserve">The authors wish to thank the Engineering and Physical Sciences Research Council (EPSRC) for funding this project. Special appreciation is extended to the facilities management teams at University College Birmingham and local industrial partners who facilitated access to pilot-scale reactors.</w:t>
      </w:r>
    </w:p>
    <w:bookmarkStart w:id="30" w:name="future-work"/>
    <w:p>
      <w:pPr>
        <w:pStyle w:val="Heading3"/>
      </w:pPr>
      <w:r>
        <w:t xml:space="preserve">Future Work</w:t>
      </w:r>
    </w:p>
    <w:p>
      <w:pPr>
        <w:pStyle w:val="FirstParagraph"/>
      </w:pPr>
      <w:r>
        <w:t xml:space="preserve">Looking ahead, subsequent studies will focus on expanding this catalytic system to include nitrogen-containing heterocycles, which are prevalent in many pharmaceutical drugs currently synthesized in the region. Additionally, efforts will be made to integrate machine learning algorithms further into the discovery process to accelerate the identification of optimal reaction conditions.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Chemist in United Kingdom Birmingham</dc:title>
  <dc:creator/>
  <dc:language>en</dc:language>
  <cp:keywords/>
  <dcterms:created xsi:type="dcterms:W3CDTF">2026-07-29T02:03:02Z</dcterms:created>
  <dcterms:modified xsi:type="dcterms:W3CDTF">2026-07-29T02:03:02Z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