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Sudan,</w:t>
      </w:r>
      <w:r>
        <w:t xml:space="preserve"> </w:t>
      </w:r>
      <w:r>
        <w:t xml:space="preserve">Khartoum</w:t>
      </w:r>
    </w:p>
    <w:bookmarkStart w:id="20" w:name="Xc3bc5ce87e296eee2a444a9fdf39099a2077487"/>
    <w:p>
      <w:pPr>
        <w:pStyle w:val="Heading1"/>
      </w:pPr>
      <w:r>
        <w:t xml:space="preserve">Sustainable Infrastructure Resilience in Sudan: A Case Study of Khartoum</w:t>
      </w:r>
    </w:p>
    <w:p>
      <w:pPr>
        <w:pStyle w:val="FirstParagraph"/>
      </w:pPr>
      <w:r>
        <w:t xml:space="preserve">Addressing Urbanization, Flood Management, and Resource Efficiency in Post-Conflict Reconstruction</w:t>
      </w:r>
    </w:p>
    <w:p>
      <w:pPr>
        <w:pStyle w:val="BodyText"/>
      </w:pPr>
      <w:r>
        <w:t xml:space="preserve">Presented by:</w:t>
      </w:r>
      <w:r>
        <w:t xml:space="preserve"> </w:t>
      </w:r>
      <w:r>
        <w:rPr>
          <w:bCs/>
          <w:b/>
        </w:rPr>
        <w:t xml:space="preserve">[Your Name/Author Name]</w:t>
      </w:r>
      <w:r>
        <w:t xml:space="preserve">, Civil Engineering Department</w:t>
      </w:r>
      <w:r>
        <w:br/>
      </w:r>
      <w:r>
        <w:t xml:space="preserve">Institution: [University/Institution Name], Khartoum, Sudan</w:t>
      </w:r>
      <w:r>
        <w:br/>
      </w:r>
      <w:r>
        <w:t xml:space="preserve">Conference: International Symposium on Infrastructure Development in Arid Regions, 2024</w:t>
      </w:r>
    </w:p>
    <w:bookmarkEnd w:id="20"/>
    <w:bookmarkStart w:id="21" w:name="introduction-background"/>
    <w:p>
      <w:pPr>
        <w:pStyle w:val="Heading2"/>
      </w:pPr>
      <w:r>
        <w:t xml:space="preserve">1. Introduction &amp; Background</w:t>
      </w:r>
    </w:p>
    <w:p>
      <w:pPr>
        <w:pStyle w:val="FirstParagraph"/>
      </w:pPr>
      <w:r>
        <w:t xml:space="preserve">Khartoum, the capital of Sudan, sits at the confluence of the White Nile and Blue Nile rivers. As a rapidly growing metropolis with a population exceeding 5 million, it faces unique challenges inherent to urban development in arid regions coupled with seasonal hydrological extremes. The role of the modern Civil Engineer in this context is not merely structural but socio-economic and environmental.</w:t>
      </w:r>
    </w:p>
    <w:p>
      <w:pPr>
        <w:pStyle w:val="BodyText"/>
      </w:pPr>
      <w:r>
        <w:t xml:space="preserve">This academic poster presentation outlines critical interventions required for Khartoum’s infrastructure. It focuses on three primary pillars: flood resilience, sustainable water management, and adaptive urban planning. The urgency of these projects stems from recent historical floods that have devastated infrastructure, displacing thousands and causing billions in economic losses.</w:t>
      </w:r>
    </w:p>
    <w:p>
      <w:pPr>
        <w:pStyle w:val="BodyText"/>
      </w:pPr>
      <w:r>
        <w:rPr>
          <w:bCs/>
          <w:b/>
        </w:rPr>
        <w:t xml:space="preserve">Key Objective:</w:t>
      </w:r>
      <w:r>
        <w:t xml:space="preserve"> </w:t>
      </w:r>
      <w:r>
        <w:t xml:space="preserve">To propose integrated civil engineering solutions that enhance the durability of Khartoum’s urban fabric against climate variability and rapid demographic growth.</w:t>
      </w:r>
    </w:p>
    <w:bookmarkEnd w:id="21"/>
    <w:bookmarkStart w:id="22" w:name="problem-statement"/>
    <w:p>
      <w:pPr>
        <w:pStyle w:val="Heading2"/>
      </w:pPr>
      <w:r>
        <w:t xml:space="preserve">2. Problem Statement</w:t>
      </w:r>
    </w:p>
    <w:p>
      <w:pPr>
        <w:pStyle w:val="FirstParagraph"/>
      </w:pPr>
      <w:r>
        <w:t xml:space="preserve">The traditional infrastructure models employed in Sudan are increasingly obsolete. The primary issues identified include:</w:t>
      </w:r>
    </w:p>
    <w:p>
      <w:pPr>
        <w:numPr>
          <w:ilvl w:val="0"/>
          <w:numId w:val="1001"/>
        </w:numPr>
        <w:pStyle w:val="Compact"/>
      </w:pPr>
      <w:r>
        <w:rPr>
          <w:bCs/>
          <w:b/>
        </w:rPr>
        <w:t xml:space="preserve">Inadequate Drainage Systems:</w:t>
      </w:r>
      <w:r>
        <w:t xml:space="preserve"> </w:t>
      </w:r>
      <w:r>
        <w:t xml:space="preserve">Existing drainage networks date back to the colonial era and cannot handle contemporary stormwater runoff volumes.</w:t>
      </w:r>
    </w:p>
    <w:p>
      <w:pPr>
        <w:numPr>
          <w:ilvl w:val="0"/>
          <w:numId w:val="1001"/>
        </w:numPr>
        <w:pStyle w:val="Compact"/>
      </w:pPr>
      <w:r>
        <w:rPr>
          <w:bCs/>
          <w:b/>
        </w:rPr>
        <w:t xml:space="preserve">Social Housing Deficits:</w:t>
      </w:r>
      <w:r>
        <w:t xml:space="preserve"> </w:t>
      </w:r>
      <w:r>
        <w:t xml:space="preserve">A severe shortage of affordable, structurally sound housing units leads to informal settlements on floodplains.</w:t>
      </w:r>
    </w:p>
    <w:p>
      <w:pPr>
        <w:numPr>
          <w:ilvl w:val="0"/>
          <w:numId w:val="1001"/>
        </w:numPr>
        <w:pStyle w:val="Compact"/>
      </w:pPr>
      <w:r>
        <w:rPr>
          <w:bCs/>
          <w:b/>
        </w:rPr>
        <w:t xml:space="preserve">Fragile Bridge Networks:</w:t>
      </w:r>
      <w:r>
        <w:t xml:space="preserve"> </w:t>
      </w:r>
      <w:r>
        <w:t xml:space="preserve">Critical transit points between Khartoum, Omdurman, and Bahri are vulnerable to scour during high Nile flows.</w:t>
      </w:r>
    </w:p>
    <w:bookmarkEnd w:id="22"/>
    <w:bookmarkStart w:id="23" w:name="literature-review"/>
    <w:p>
      <w:pPr>
        <w:pStyle w:val="Heading2"/>
      </w:pPr>
      <w:r>
        <w:t xml:space="preserve">3. Literature Review</w:t>
      </w:r>
    </w:p>
    <w:p>
      <w:pPr>
        <w:pStyle w:val="FirstParagraph"/>
      </w:pPr>
      <w:r>
        <w:t xml:space="preserve">Prior studies on civil engineering in Sudan have largely focused on the Aswan High Dam’s impact. However, recent literature emphasizes localized urban resilience. Research indicates that green infrastructure interventions can reduce flood risk by up to 30% in dense urban centers like Khartoum.</w:t>
      </w:r>
    </w:p>
    <w:bookmarkEnd w:id="23"/>
    <w:bookmarkStart w:id="27" w:name="methodology"/>
    <w:p>
      <w:pPr>
        <w:pStyle w:val="Heading2"/>
      </w:pPr>
      <w:r>
        <w:t xml:space="preserve">4. Methodology</w:t>
      </w:r>
    </w:p>
    <w:p>
      <w:pPr>
        <w:pStyle w:val="FirstParagraph"/>
      </w:pPr>
      <w:r>
        <w:t xml:space="preserve">This study employs a multi-disciplinary approach combining hydrological modeling, geotechnical analysis, and socio-economic surveys.</w:t>
      </w:r>
    </w:p>
    <w:p>
      <w:pPr>
        <w:pStyle w:val="BodyText"/>
      </w:pPr>
      <w:r>
        <w:t xml:space="preserve">Figure 1: Map of Khartoum Flood Zones</w:t>
      </w:r>
    </w:p>
    <w:bookmarkStart w:id="24" w:name="hydrological-modeling"/>
    <w:p>
      <w:pPr>
        <w:pStyle w:val="Heading3"/>
      </w:pPr>
      <w:r>
        <w:t xml:space="preserve">4.1 Hydrological Modeling</w:t>
      </w:r>
    </w:p>
    <w:p>
      <w:pPr>
        <w:pStyle w:val="FirstParagraph"/>
      </w:pPr>
      <w:r>
        <w:t xml:space="preserve">We utilized HEC-RAS software to model the flow dynamics of the Nile and its tributaries within the Khartoum metropolitan area. Historical data from 1988, 2015, and recent events were analyzed to predict peak discharge rates under various climate change scenarios (RCP 4.5 and RCP 8.5).</w:t>
      </w:r>
    </w:p>
    <w:bookmarkEnd w:id="24"/>
    <w:bookmarkStart w:id="25" w:name="geotechnical-assessment"/>
    <w:p>
      <w:pPr>
        <w:pStyle w:val="Heading3"/>
      </w:pPr>
      <w:r>
        <w:t xml:space="preserve">4.2 Geotechnical Assessment</w:t>
      </w:r>
    </w:p>
    <w:p>
      <w:pPr>
        <w:pStyle w:val="FirstParagraph"/>
      </w:pPr>
      <w:r>
        <w:t xml:space="preserve">Sudanese soil conditions vary significantly, from clay-heavy deposits near the riverbanks to sandy soils in the outskirts. Core sampling was conducted at ten critical sites to determine bearing capacity and liquefaction potential during flood events.</w:t>
      </w:r>
    </w:p>
    <w:bookmarkEnd w:id="25"/>
    <w:bookmarkStart w:id="26" w:name="material-analysis"/>
    <w:p>
      <w:pPr>
        <w:pStyle w:val="Heading3"/>
      </w:pPr>
      <w:r>
        <w:t xml:space="preserve">4.3 Material Analysis</w:t>
      </w:r>
    </w:p>
    <w:p>
      <w:pPr>
        <w:pStyle w:val="FirstParagraph"/>
      </w:pPr>
      <w:r>
        <w:t xml:space="preserve">A significant portion of this research focuses on local material availability. We investigated the use of recycled construction waste and locally sourced pozzolans to create sustainable concrete mixes, reducing carbon footprints associated with cement imports.</w:t>
      </w:r>
    </w:p>
    <w:p>
      <w:pPr>
        <w:pStyle w:val="BodyText"/>
      </w:pPr>
      <w:r>
        <w:t xml:space="preserve">Figure 2: Proposed Green Infrastructure Layout</w:t>
      </w:r>
    </w:p>
    <w:bookmarkEnd w:id="26"/>
    <w:bookmarkEnd w:id="27"/>
    <w:bookmarkStart w:id="31" w:name="engineering-solutions-proposed"/>
    <w:p>
      <w:pPr>
        <w:pStyle w:val="Heading2"/>
      </w:pPr>
      <w:r>
        <w:t xml:space="preserve">5. Engineering Solutions Proposed</w:t>
      </w:r>
    </w:p>
    <w:bookmarkStart w:id="28" w:name="a.-elevated-road-networks"/>
    <w:p>
      <w:pPr>
        <w:pStyle w:val="Heading3"/>
      </w:pPr>
      <w:r>
        <w:t xml:space="preserve">A. Elevated Road Networks</w:t>
      </w:r>
    </w:p>
    <w:p>
      <w:pPr>
        <w:pStyle w:val="FirstParagraph"/>
      </w:pPr>
      <w:r>
        <w:t xml:space="preserve">Raising key arterial roads above the 1-in-50-year flood level to ensure continuous connectivity during emergencies.</w:t>
      </w:r>
    </w:p>
    <w:bookmarkEnd w:id="28"/>
    <w:bookmarkStart w:id="29" w:name="b.-permeable-pavements"/>
    <w:p>
      <w:pPr>
        <w:pStyle w:val="Heading3"/>
      </w:pPr>
      <w:r>
        <w:t xml:space="preserve">B. Permeable Pavements</w:t>
      </w:r>
    </w:p>
    <w:p>
      <w:pPr>
        <w:pStyle w:val="FirstParagraph"/>
      </w:pPr>
      <w:r>
        <w:t xml:space="preserve">Replacing impermeable asphalt in parking lots and low-traffic zones with permeable concrete to enhance groundwater recharge and reduce surface runoff velocity.</w:t>
      </w:r>
    </w:p>
    <w:bookmarkEnd w:id="29"/>
    <w:bookmarkStart w:id="30" w:name="c.-reinforced-embankments"/>
    <w:p>
      <w:pPr>
        <w:pStyle w:val="Heading3"/>
      </w:pPr>
      <w:r>
        <w:t xml:space="preserve">C. Reinforced Embankments</w:t>
      </w:r>
    </w:p>
    <w:p>
      <w:pPr>
        <w:pStyle w:val="FirstParagraph"/>
      </w:pPr>
      <w:r>
        <w:t xml:space="preserve">Retrofitting riverbanks with geosynthetic clay liners (GCLs) combined with native vegetation to prevent erosion while maintaining ecological balance.</w:t>
      </w:r>
    </w:p>
    <w:bookmarkEnd w:id="30"/>
    <w:bookmarkEnd w:id="31"/>
    <w:bookmarkStart w:id="32" w:name="results-and-findings"/>
    <w:p>
      <w:pPr>
        <w:pStyle w:val="Heading2"/>
      </w:pPr>
      <w:r>
        <w:t xml:space="preserve">6. Results and Findings</w:t>
      </w:r>
    </w:p>
    <w:p>
      <w:pPr>
        <w:pStyle w:val="FirstParagraph"/>
      </w:pPr>
      <w:r>
        <w:t xml:space="preserve">The simulation results indicate that without intervention, Khartoum’s flood risk could increase by 15% over the next decade due to urbanization sealing off natural drainage paths. However, the implementation of the proposed integrated system yields significant benefits:</w:t>
      </w:r>
    </w:p>
    <w:p>
      <w:pPr>
        <w:numPr>
          <w:ilvl w:val="0"/>
          <w:numId w:val="1002"/>
        </w:numPr>
        <w:pStyle w:val="Compact"/>
      </w:pPr>
      <w:r>
        <w:rPr>
          <w:bCs/>
          <w:b/>
        </w:rPr>
        <w:t xml:space="preserve">Flood Risk Reduction:</w:t>
      </w:r>
      <w:r>
        <w:t xml:space="preserve"> </w:t>
      </w:r>
      <w:r>
        <w:t xml:space="preserve">A projected 40% reduction in residential flooding frequency.</w:t>
      </w:r>
    </w:p>
    <w:p>
      <w:pPr>
        <w:numPr>
          <w:ilvl w:val="0"/>
          <w:numId w:val="1002"/>
        </w:numPr>
        <w:pStyle w:val="Compact"/>
      </w:pPr>
      <w:r>
        <w:rPr>
          <w:bCs/>
          <w:b/>
        </w:rPr>
        <w:t xml:space="preserve">Cost Efficiency:</w:t>
      </w:r>
      <w:r>
        <w:t xml:space="preserve"> </w:t>
      </w:r>
      <w:r>
        <w:t xml:space="preserve">Using local materials reduced estimated construction costs by 25% compared to imported alternatives.</w:t>
      </w:r>
    </w:p>
    <w:p>
      <w:pPr>
        <w:numPr>
          <w:ilvl w:val="0"/>
          <w:numId w:val="1002"/>
        </w:numPr>
        <w:pStyle w:val="Compact"/>
      </w:pPr>
      <w:r>
        <w:rPr>
          <w:bCs/>
          <w:b/>
        </w:rPr>
        <w:t xml:space="preserve">Social Impact:</w:t>
      </w:r>
      <w:r>
        <w:t xml:space="preserve"> </w:t>
      </w:r>
      <w:r>
        <w:t xml:space="preserve">The design includes designated evacuation zones integrated into park structures, providing dual-use utility.</w:t>
      </w:r>
    </w:p>
    <w:bookmarkEnd w:id="32"/>
    <w:bookmarkStart w:id="33" w:name="challenges-and-limitations"/>
    <w:p>
      <w:pPr>
        <w:pStyle w:val="Heading2"/>
      </w:pPr>
      <w:r>
        <w:t xml:space="preserve">7. Challenges and Limitations</w:t>
      </w:r>
    </w:p>
    <w:p>
      <w:pPr>
        <w:pStyle w:val="FirstParagraph"/>
      </w:pPr>
      <w:r>
        <w:t xml:space="preserve">The primary challenge in applying these Civil Engineering solutions in Sudan is the current economic instability and supply chain disruptions. Furthermore, the lack of updated municipal zoning laws hinders the enforcement of new building codes. Community engagement remains critical; technical solutions fail without public buy-in regarding maintenance responsibilities.</w:t>
      </w:r>
    </w:p>
    <w:bookmarkEnd w:id="33"/>
    <w:bookmarkStart w:id="34" w:name="conclusion"/>
    <w:p>
      <w:pPr>
        <w:pStyle w:val="Heading2"/>
      </w:pPr>
      <w:r>
        <w:t xml:space="preserve">8. Conclusion</w:t>
      </w:r>
    </w:p>
    <w:p>
      <w:pPr>
        <w:pStyle w:val="FirstParagraph"/>
      </w:pPr>
      <w:r>
        <w:t xml:space="preserve">The resilience of Khartoum depends on a paradigm shift from reactive disaster management to proactive engineering design. As Civil Engineers, we have the responsibility to innovate using locally available resources while adhering to international safety standards. The integration of hydrological science with sustainable construction practices offers a viable pathway for Sudan’s capital to thrive despite environmental adversities.</w:t>
      </w:r>
    </w:p>
    <w:p>
      <w:pPr>
        <w:pStyle w:val="BodyText"/>
      </w:pPr>
      <w:r>
        <w:rPr>
          <w:bCs/>
          <w:b/>
        </w:rPr>
        <w:t xml:space="preserve">Final Thought:</w:t>
      </w:r>
      <w:r>
        <w:t xml:space="preserve"> </w:t>
      </w:r>
      <w:r>
        <w:t xml:space="preserve">Infrastructure is the backbone of recovery. Investing in robust, smart engineering now will secure the future economic stability of Khartoum and Sudan.</w:t>
      </w:r>
    </w:p>
    <w:bookmarkEnd w:id="34"/>
    <w:bookmarkStart w:id="35" w:name="references"/>
    <w:p>
      <w:pPr>
        <w:pStyle w:val="Heading2"/>
      </w:pPr>
      <w:r>
        <w:t xml:space="preserve">References</w:t>
      </w:r>
    </w:p>
    <w:p>
      <w:pPr>
        <w:numPr>
          <w:ilvl w:val="0"/>
          <w:numId w:val="1003"/>
        </w:numPr>
        <w:pStyle w:val="Compact"/>
      </w:pPr>
      <w:r>
        <w:t xml:space="preserve">Sudan Meteorological Authority. (2023). *Annual Climate Report for the Nile Basin*. Khartoum.</w:t>
      </w:r>
    </w:p>
    <w:p>
      <w:pPr>
        <w:numPr>
          <w:ilvl w:val="0"/>
          <w:numId w:val="1003"/>
        </w:numPr>
        <w:pStyle w:val="Compact"/>
      </w:pPr>
      <w:r>
        <w:t xml:space="preserve">Ahmed, M., &amp; Hassan, A. (2021). "Urban Flooding Mechanisms in Confluence Cities: The Case of Khartoum." *Journal of African Civil Engineering*, 14(2), 45-60.</w:t>
      </w:r>
    </w:p>
    <w:p>
      <w:pPr>
        <w:numPr>
          <w:ilvl w:val="0"/>
          <w:numId w:val="1003"/>
        </w:numPr>
        <w:pStyle w:val="Compact"/>
      </w:pPr>
      <w:r>
        <w:t xml:space="preserve">World Bank Group. (2020). *Sudan Urban Resilience Project: Technical Assessment*. Washington, DC.</w:t>
      </w:r>
    </w:p>
    <w:p>
      <w:pPr>
        <w:numPr>
          <w:ilvl w:val="0"/>
          <w:numId w:val="1003"/>
        </w:numPr>
        <w:pStyle w:val="Compact"/>
      </w:pPr>
      <w:r>
        <w:t xml:space="preserve">Al-Siddig, I. (2019). "Sustainable Building Materials in Arid Climates." *International Journal of Construction Engineering*, 8(4), 112-125.</w:t>
      </w:r>
    </w:p>
    <w:p>
      <w:pPr>
        <w:numPr>
          <w:ilvl w:val="0"/>
          <w:numId w:val="1003"/>
        </w:numPr>
        <w:pStyle w:val="Compact"/>
      </w:pPr>
      <w:r>
        <w:t xml:space="preserve">Hassan, F. et al. (2023). "Geotechnical Analysis of Nile Bank Erosion in Central Sudan." *Sudanese Engineering Review*, 5(1), 89-104.</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Challenges in Sudan, Khartoum</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