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Civil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Istanbul:</w:t>
      </w:r>
      <w:r>
        <w:t xml:space="preserve"> </w:t>
      </w:r>
      <w:r>
        <w:t xml:space="preserve">Infrastructure</w:t>
      </w:r>
      <w:r>
        <w:t xml:space="preserve"> </w:t>
      </w:r>
      <w:r>
        <w:t xml:space="preserve">Challenges</w:t>
      </w:r>
      <w:r>
        <w:t xml:space="preserve"> </w:t>
      </w:r>
      <w:r>
        <w:t xml:space="preserve">and</w:t>
      </w:r>
      <w:r>
        <w:t xml:space="preserve"> </w:t>
      </w:r>
      <w:r>
        <w:t xml:space="preserve">Sustainable</w:t>
      </w:r>
      <w:r>
        <w:t xml:space="preserve"> </w:t>
      </w:r>
      <w:r>
        <w:t xml:space="preserve">Solutions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Civil Engineering in Turkey Istanbul: Infrastructure Challenges and Sustainable Solutions</dc:title>
  <dc:creator/>
  <dc:language>en</dc:language>
  <cp:keywords/>
  <dcterms:created xsi:type="dcterms:W3CDTF">2026-09-27T02:48:37Z</dcterms:created>
  <dcterms:modified xsi:type="dcterms:W3CDTF">2026-09-27T02:48:37Z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