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Uzbekistan</w:t>
      </w:r>
      <w:r>
        <w:t xml:space="preserve"> </w:t>
      </w:r>
      <w:r>
        <w:t xml:space="preserve">Tashkent</w:t>
      </w:r>
    </w:p>
    <w:bookmarkStart w:id="20" w:name="civil-engineering-in-uzbekistan-tashkent"/>
    <w:p>
      <w:pPr>
        <w:pStyle w:val="Heading1"/>
      </w:pPr>
      <w:r>
        <w:t xml:space="preserve">Civil Engineering in Uzbekistan Tashkent</w:t>
      </w:r>
    </w:p>
    <w:p>
      <w:pPr>
        <w:pStyle w:val="FirstParagraph"/>
      </w:pPr>
      <w:r>
        <w:t xml:space="preserve">Innovation, Heritage, and Sustainable Urban Development in Central Asia's Capital</w:t>
      </w:r>
    </w:p>
    <w:p>
      <w:pPr>
        <w:pStyle w:val="BodyText"/>
      </w:pPr>
      <w:r>
        <w:br/>
      </w:r>
      <w:r>
        <w:rPr>
          <w:bCs/>
          <w:b/>
        </w:rPr>
        <w:t xml:space="preserve">Poster Presentation Academic Document</w:t>
      </w:r>
      <w:r>
        <w:br/>
      </w:r>
      <w:r>
        <w:rPr>
          <w:bCs/>
          <w:b/>
        </w:rPr>
        <w:t xml:space="preserve">Prepared for International Symposium on Asian Infrastructure</w:t>
      </w:r>
      <w:r>
        <w:br/>
      </w:r>
      <w:r>
        <w:rPr>
          <w:bCs/>
          <w:b/>
        </w:rPr>
        <w:t xml:space="preserve">2024 Edition</w:t>
      </w:r>
    </w:p>
    <w:bookmarkEnd w:id="20"/>
    <w:p>
      <w:pPr>
        <w:pStyle w:val="BodyText"/>
      </w:pPr>
      <w:r>
        <w:t xml:space="preserve">This poster presentation outlines the critical role of the</w:t>
      </w:r>
      <w:r>
        <w:t xml:space="preserve"> </w:t>
      </w:r>
      <w:r>
        <w:rPr>
          <w:bCs/>
          <w:b/>
        </w:rPr>
        <w:t xml:space="preserve">Civil Engineer</w:t>
      </w:r>
      <w:r>
        <w:t xml:space="preserve"> </w:t>
      </w:r>
      <w:r>
        <w:t xml:space="preserve">in shaping the future infrastructure landscape of Uzbekistan. Specifically, we focus on Tashkent, a city that stands as a vibrant nexus between historical significance and modern metropolitan ambition. As one of the oldest continuously inhabited cities in Central Asia, Tashkent is currently undergoing a massive transformation. This document details the technical challenges, innovative solutions, and strategic planning required to balance rapid urbanization with cultural preservation.</w:t>
      </w:r>
    </w:p>
    <w:bookmarkStart w:id="21" w:name="Xc6365a0e98508285414f561768f50d8841b14c9"/>
    <w:p>
      <w:pPr>
        <w:pStyle w:val="Heading2"/>
      </w:pPr>
      <w:r>
        <w:t xml:space="preserve">1. Introduction: The Context of Uzbekistan Tashkent</w:t>
      </w:r>
    </w:p>
    <w:p>
      <w:pPr>
        <w:pStyle w:val="FirstParagraph"/>
      </w:pPr>
      <w:r>
        <w:t xml:space="preserve">Tashkent has emerged as one of Central Asia's most dynamic economic hubs over the past two decades. However, this growth presents unique engineering paradigms that require specialized attention from every</w:t>
      </w:r>
      <w:r>
        <w:t xml:space="preserve"> </w:t>
      </w:r>
      <w:r>
        <w:rPr>
          <w:bCs/>
          <w:b/>
        </w:rPr>
        <w:t xml:space="preserve">Civil Engineer</w:t>
      </w:r>
      <w:r>
        <w:t xml:space="preserve"> </w:t>
      </w:r>
      <w:r>
        <w:t xml:space="preserve">involved in regional development projects. The city is situated in a seismically active zone, posing significant risks to infrastructure resilience. Furthermore, the legacy of Soviet-era planning must be harmonized with contemporary architectural aesthetics and international safety standards.</w:t>
      </w:r>
    </w:p>
    <w:p>
      <w:pPr>
        <w:pStyle w:val="BodyText"/>
      </w:pPr>
      <w:r>
        <w:t xml:space="preserve">The primary objective of this academic poster is to highlight how modern</w:t>
      </w:r>
      <w:r>
        <w:t xml:space="preserve"> </w:t>
      </w:r>
      <w:r>
        <w:rPr>
          <w:bCs/>
          <w:b/>
        </w:rPr>
        <w:t xml:space="preserve">Civil Engineer</w:t>
      </w:r>
      <w:r>
        <w:t xml:space="preserve"> </w:t>
      </w:r>
      <w:r>
        <w:t xml:space="preserve">practices are being adapted specifically for the geological and socio-economic context of</w:t>
      </w:r>
      <w:r>
        <w:t xml:space="preserve"> </w:t>
      </w:r>
      <w:r>
        <w:rPr>
          <w:bCs/>
          <w:b/>
        </w:rPr>
        <w:t xml:space="preserve">Uzbekistan Tashkent</w:t>
      </w:r>
      <w:r>
        <w:t xml:space="preserve">. We explore three core pillars: seismic resilience, sustainable urban mobility, and smart water management systems.</w:t>
      </w:r>
    </w:p>
    <w:bookmarkEnd w:id="21"/>
    <w:bookmarkStart w:id="22" w:name="Xac668c804ce7bb07fed6b765ef2cec173b20a36"/>
    <w:p>
      <w:pPr>
        <w:pStyle w:val="Heading2"/>
      </w:pPr>
      <w:r>
        <w:t xml:space="preserve">2. Seismic Resilience and Structural Engineering</w:t>
      </w:r>
    </w:p>
    <w:p>
      <w:pPr>
        <w:pStyle w:val="FirstParagraph"/>
      </w:pPr>
      <w:r>
        <w:t xml:space="preserve">The most pressing challenge for any</w:t>
      </w:r>
      <w:r>
        <w:t xml:space="preserve"> </w:t>
      </w:r>
      <w:r>
        <w:rPr>
          <w:bCs/>
          <w:b/>
        </w:rPr>
        <w:t xml:space="preserve">Civil Engineer</w:t>
      </w:r>
      <w:r>
        <w:t xml:space="preserve"> </w:t>
      </w:r>
      <w:r>
        <w:t xml:space="preserve">working in the region is earthquake preparedness. Tashkent sits near active fault lines capable of producing high-magnitude events, as evidenced by the devastating 1966 earthquake. Consequently, modern structural engineering codes in</w:t>
      </w:r>
      <w:r>
        <w:t xml:space="preserve"> </w:t>
      </w:r>
      <w:r>
        <w:rPr>
          <w:bCs/>
          <w:b/>
        </w:rPr>
        <w:t xml:space="preserve">Uzbekistan Tashkent</w:t>
      </w:r>
      <w:r>
        <w:br/>
      </w:r>
      <w:r>
        <w:t xml:space="preserve">have been rigorously updated to incorporate base isolation techniques and reinforced concrete designs that exceed previous standards.</w:t>
      </w:r>
    </w:p>
    <w:p>
      <w:pPr>
        <w:pStyle w:val="BodyText"/>
      </w:pPr>
      <w:r>
        <w:t xml:space="preserve">This section of our research demonstrates how local engineers are implementing:</w:t>
      </w:r>
    </w:p>
    <w:p>
      <w:pPr>
        <w:numPr>
          <w:ilvl w:val="0"/>
          <w:numId w:val="1001"/>
        </w:numPr>
        <w:pStyle w:val="Compact"/>
      </w:pPr>
      <w:r>
        <w:rPr>
          <w:bCs/>
          <w:b/>
        </w:rPr>
        <w:t xml:space="preserve">Advanced Soil Analysis:</w:t>
      </w:r>
    </w:p>
    <w:p>
      <w:pPr>
        <w:numPr>
          <w:ilvl w:val="0"/>
          <w:numId w:val="1001"/>
        </w:numPr>
        <w:pStyle w:val="Compact"/>
      </w:pPr>
      <w:r>
        <w:rPr>
          <w:bCs/>
          <w:b/>
        </w:rPr>
        <w:t xml:space="preserve">Ductile Detailing Standards:</w:t>
      </w:r>
    </w:p>
    <w:p>
      <w:pPr>
        <w:numPr>
          <w:ilvl w:val="0"/>
          <w:numId w:val="1001"/>
        </w:numPr>
        <w:pStyle w:val="Compact"/>
      </w:pPr>
      <w:r>
        <w:t xml:space="preserve">Retrofitting Historic Structures:</w:t>
      </w:r>
    </w:p>
    <w:bookmarkEnd w:id="22"/>
    <w:bookmarkStart w:id="23" w:name="X9c6e4bd454d9816668b56541a69ff77ee1e90c7"/>
    <w:p>
      <w:pPr>
        <w:pStyle w:val="Heading2"/>
      </w:pPr>
      <w:r>
        <w:t xml:space="preserve">3. Sustainable Urban Mobility and Transportation Networks</w:t>
      </w:r>
    </w:p>
    <w:p>
      <w:pPr>
        <w:pStyle w:val="FirstParagraph"/>
      </w:pPr>
      <w:r>
        <w:t xml:space="preserve">A key aspect of being a forward-thinking</w:t>
      </w:r>
      <w:r>
        <w:t xml:space="preserve"> </w:t>
      </w:r>
      <w:r>
        <w:rPr>
          <w:bCs/>
          <w:b/>
        </w:rPr>
        <w:t xml:space="preserve">Civil Engineer</w:t>
      </w:r>
      <w:r>
        <w:br/>
      </w:r>
      <w:r>
        <w:t xml:space="preserve">in the 21st century is addressing transportation congestion. As</w:t>
      </w:r>
      <w:r>
        <w:t xml:space="preserve"> </w:t>
      </w:r>
      <w:r>
        <w:rPr>
          <w:bCs/>
          <w:b/>
        </w:rPr>
        <w:t xml:space="preserve">Uzbekistan Tashkent</w:t>
      </w:r>
    </w:p>
    <w:p>
      <w:pPr>
        <w:pStyle w:val="BodyText"/>
      </w:pPr>
      <w:r>
        <w:t xml:space="preserve">This poster presents data on recent infrastructure projects aimed at decongesting urban centers through:</w:t>
      </w:r>
    </w:p>
    <w:p>
      <w:pPr>
        <w:numPr>
          <w:ilvl w:val="0"/>
          <w:numId w:val="1002"/>
        </w:numPr>
        <w:pStyle w:val="Compact"/>
      </w:pPr>
      <w:r>
        <w:rPr>
          <w:bCs/>
          <w:b/>
        </w:rPr>
        <w:t xml:space="preserve">Metro Expansion:</w:t>
      </w:r>
    </w:p>
    <w:p>
      <w:pPr>
        <w:numPr>
          <w:ilvl w:val="0"/>
          <w:numId w:val="1002"/>
        </w:numPr>
        <w:pStyle w:val="Compact"/>
      </w:pPr>
      <w:r>
        <w:t xml:space="preserve">Smart Traffic Management Systems Integrating IoT sensors into traffic lights to optimize flow patterns, reducing idle time and emissions.</w:t>
      </w:r>
    </w:p>
    <w:p>
      <w:pPr>
        <w:numPr>
          <w:ilvl w:val="0"/>
          <w:numId w:val="1002"/>
        </w:numPr>
        <w:pStyle w:val="Compact"/>
      </w:pPr>
      <w:r>
        <w:t xml:space="preserve">Pedestrian-Friendly Infrastructure:</w:t>
      </w:r>
    </w:p>
    <w:bookmarkEnd w:id="23"/>
    <w:bookmarkStart w:id="24" w:name="X5b516e945f469841fc2942f1aa7c07f10d5fffc"/>
    <w:p>
      <w:pPr>
        <w:pStyle w:val="Heading2"/>
      </w:pPr>
      <w:r>
        <w:t xml:space="preserve">4. Water Management and Environmental Sustainability</w:t>
      </w:r>
    </w:p>
    <w:p>
      <w:pPr>
        <w:pStyle w:val="FirstParagraph"/>
      </w:pPr>
      <w:r>
        <w:br/>
      </w:r>
    </w:p>
    <w:p>
      <w:pPr>
        <w:pStyle w:val="BodyText"/>
      </w:pPr>
      <w:r>
        <w:t xml:space="preserve">In an arid climate like that of Central Asia, water scarcity is a critical issue for any</w:t>
      </w:r>
      <w:r>
        <w:t xml:space="preserve"> </w:t>
      </w:r>
      <w:r>
        <w:rPr>
          <w:bCs/>
          <w:b/>
        </w:rPr>
        <w:t xml:space="preserve">Civil Engineer</w:t>
      </w:r>
    </w:p>
    <w:p>
      <w:pPr>
        <w:pStyle w:val="BodyText"/>
      </w:pPr>
      <w:r>
        <w:t xml:space="preserve">. Efficient resource management is not just an environmental concern but a structural necessity for long-term urban viability. In</w:t>
      </w:r>
    </w:p>
    <w:p>
      <w:pPr>
        <w:pStyle w:val="BodyText"/>
      </w:pPr>
      <w:r>
        <w:t xml:space="preserve">Uzbekistan Tashkent, the aging Soviet-era pipe networks have led to significant leakage and inefficient distribution.</w:t>
      </w:r>
    </w:p>
    <w:p>
      <w:pPr>
        <w:pStyle w:val="BodyText"/>
      </w:pPr>
      <w:r>
        <w:br/>
      </w:r>
    </w:p>
    <w:p>
      <w:pPr>
        <w:pStyle w:val="BodyText"/>
      </w:pPr>
      <w:r>
        <w:t xml:space="preserve">This academic document highlights innovative engineering solutions currently being piloted:</w:t>
      </w:r>
    </w:p>
    <w:p>
      <w:pPr>
        <w:numPr>
          <w:ilvl w:val="0"/>
          <w:numId w:val="1003"/>
        </w:numPr>
        <w:pStyle w:val="Compact"/>
      </w:pPr>
      <w:r>
        <w:rPr>
          <w:bCs/>
          <w:b/>
        </w:rPr>
        <w:t xml:space="preserve">Smart Metering Technology:</w:t>
      </w:r>
      <w:r>
        <w:t xml:space="preserve"> </w:t>
      </w:r>
      <w:r>
        <w:t xml:space="preserve">Redesigning drainage systems to handle sudden heavy rains while capturing runoff for irrigation use in city parks, promoting green infrastructure.</w:t>
      </w:r>
    </w:p>
    <w:p>
      <w:pPr>
        <w:numPr>
          <w:ilvl w:val="0"/>
          <w:numId w:val="1003"/>
        </w:numPr>
        <w:pStyle w:val="Compact"/>
      </w:pPr>
      <w:r>
        <w:t xml:space="preserve">Sewage Treatment Plant Modernization: Implementing tertiary treatment processes that allow treated wastewater to be safely reused for agricultural and landscaping purposes in the greater Tashkent area.</w:t>
      </w:r>
    </w:p>
    <w:bookmarkEnd w:id="24"/>
    <w:bookmarkStart w:id="25" w:name="human-capital-development-and-education"/>
    <w:p>
      <w:pPr>
        <w:pStyle w:val="Heading2"/>
      </w:pPr>
      <w:r>
        <w:t xml:space="preserve">5. Human Capital Development and Education</w:t>
      </w:r>
    </w:p>
    <w:p>
      <w:pPr>
        <w:pStyle w:val="FirstParagraph"/>
      </w:pPr>
      <w:r>
        <w:br/>
      </w:r>
    </w:p>
    <w:p>
      <w:pPr>
        <w:pStyle w:val="BodyText"/>
      </w:pPr>
      <w:r>
        <w:t xml:space="preserve">The success of infrastructure projects in</w:t>
      </w:r>
    </w:p>
    <w:p>
      <w:pPr>
        <w:pStyle w:val="BodyText"/>
      </w:pPr>
      <w:r>
        <w:t xml:space="preserve">Uzbekistan TashkentCivil Engineer This poster emphasizes the importance of international collaboration between universities and private sector firms. By bringing global best practices into classrooms, we ensure that future generations possess the skills necessary to maintain and expand Tashkent's modern skyline.</w:t>
      </w:r>
    </w:p>
    <w:p>
      <w:pPr>
        <w:pStyle w:val="BodyText"/>
      </w:pPr>
      <w:r>
        <w:br/>
      </w:r>
    </w:p>
    <w:p>
      <w:pPr>
        <w:pStyle w:val="BodyText"/>
      </w:pPr>
      <w:r>
        <w:t xml:space="preserve">Key educational initiatives include:</w:t>
      </w:r>
    </w:p>
    <w:p>
      <w:pPr>
        <w:numPr>
          <w:ilvl w:val="0"/>
          <w:numId w:val="1004"/>
        </w:numPr>
        <w:pStyle w:val="Compact"/>
      </w:pPr>
      <w:r>
        <w:t xml:space="preserve">Exchange programs with European and Asian engineering institutions.</w:t>
      </w:r>
      <w:r>
        <w:br/>
      </w:r>
    </w:p>
    <w:p>
      <w:pPr>
        <w:numPr>
          <w:ilvl w:val="0"/>
          <w:numId w:val="1004"/>
        </w:numPr>
        <w:pStyle w:val="Compact"/>
      </w:pPr>
      <w:r>
        <w:t xml:space="preserve">Certification courses focused on BIM (Building Information Modeling) software, which is becoming the industry standard for complex projects.</w:t>
      </w:r>
    </w:p>
    <w:p>
      <w:pPr>
        <w:numPr>
          <w:ilvl w:val="0"/>
          <w:numId w:val="1004"/>
        </w:numPr>
        <w:pStyle w:val="Compact"/>
      </w:pPr>
      <w:r>
        <w:t xml:space="preserve">Practical apprenticeships in ongoing mega-projects such as the construction of new business districts and industrial zones.</w:t>
      </w:r>
    </w:p>
    <w:bookmarkEnd w:id="25"/>
    <w:bookmarkStart w:id="26" w:name="conclusion-a-vision-for-tashkents-future"/>
    <w:p>
      <w:pPr>
        <w:pStyle w:val="Heading2"/>
      </w:pPr>
      <w:r>
        <w:t xml:space="preserve">6. Conclusion: A Vision for Tashkent's Future</w:t>
      </w:r>
    </w:p>
    <w:p>
      <w:pPr>
        <w:pStyle w:val="FirstParagraph"/>
      </w:pPr>
      <w:r>
        <w:br/>
      </w:r>
    </w:p>
    <w:p>
      <w:pPr>
        <w:pStyle w:val="BodyText"/>
      </w:pPr>
      <w:r>
        <w:t xml:space="preserve">In conclusion, the evolution of</w:t>
      </w:r>
      <w:r>
        <w:t xml:space="preserve"> </w:t>
      </w:r>
      <w:r>
        <w:rPr>
          <w:bCs/>
          <w:b/>
        </w:rPr>
        <w:t xml:space="preserve">Civil EngineerUzbekistan Tashkent</w:t>
      </w:r>
      <w:r>
        <w:br/>
      </w:r>
    </w:p>
    <w:p>
      <w:pPr>
        <w:pStyle w:val="BodyText"/>
      </w:pPr>
      <w:r>
        <w:t xml:space="preserve">However, this progress depends on continuous innovation and cross-sector cooperation. As we move forward, it is imperative that</w:t>
      </w:r>
    </w:p>
    <w:p>
      <w:pPr>
        <w:pStyle w:val="BodyText"/>
      </w:pPr>
      <w:r>
        <w:t xml:space="preserve">Civil EngineerUzbekistan Tashkent. This poster presentation serves as a call to action for international stakeholders to engage in joint ventures that prioritize quality, safety, and sustainability.</w:t>
      </w:r>
    </w:p>
    <w:p>
      <w:pPr>
        <w:pStyle w:val="BodyText"/>
      </w:pPr>
      <w:r>
        <w:br/>
      </w:r>
    </w:p>
    <w:p>
      <w:pPr>
        <w:pStyle w:val="BodyText"/>
      </w:pPr>
      <w:r>
        <w:t xml:space="preserve">We invite further discussion on how global engineering communities can support these efforts through knowledge sharing, technical assistance, and collaborative research initiatives focused on the unique challenges of Central Asia's capital city.</w:t>
      </w:r>
    </w:p>
    <w:bookmarkEnd w:id="26"/>
    <w:p>
      <w:pPr>
        <w:pStyle w:val="BodyText"/>
      </w:pPr>
      <w:r>
        <w:t xml:space="preserve">© 2024 Academic Research Group | All Rights Reserved</w:t>
      </w:r>
      <w:r>
        <w:br/>
      </w:r>
      <w:r>
        <w:t xml:space="preserve">Contact us for full paper access and supplementary data sets.</w:t>
      </w:r>
    </w:p>
    <w:p>
      <w:pPr>
        <w:pStyle w:val="BodyText"/>
      </w:pPr>
      <w:r>
        <w:br/>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Civil Engineering in Uzbekistan Tashkent</dc:title>
  <dc:creator/>
  <dc:language>en</dc:language>
  <cp:keywords/>
  <dcterms:created xsi:type="dcterms:W3CDTF">2026-07-29T22:09:11Z</dcterms:created>
  <dcterms:modified xsi:type="dcterms:W3CDTF">2026-07-29T22:09:11Z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