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Dhaka,</w:t>
      </w:r>
      <w:r>
        <w:t xml:space="preserve"> </w:t>
      </w:r>
      <w:r>
        <w:t xml:space="preserve">Bangladesh</w:t>
      </w:r>
    </w:p>
    <w:bookmarkStart w:id="20" w:name="X8bb597cdbf0ab149d892c9be738b1decd7a1b4c"/>
    <w:p>
      <w:pPr>
        <w:pStyle w:val="Heading1"/>
      </w:pPr>
      <w:r>
        <w:t xml:space="preserve">Redefining Education in the Capital: A Strategic Framework for Curriculum Developers in Dhaka, Bangladesh</w:t>
      </w:r>
    </w:p>
    <w:p>
      <w:pPr>
        <w:pStyle w:val="FirstParagraph"/>
      </w:pPr>
      <w:r>
        <w:t xml:space="preserve">A Modern Approach to National Educational Standards</w:t>
      </w:r>
    </w:p>
    <w:bookmarkEnd w:id="20"/>
    <w:p>
      <w:pPr>
        <w:pStyle w:val="BodyText"/>
      </w:pPr>
      <w:r>
        <w:rPr>
          <w:iCs/>
          <w:i/>
          <w:bCs/>
          <w:b/>
        </w:rPr>
        <w:t xml:space="preserve">Presentation by: [Your Name/Organization]</w:t>
      </w:r>
      <w:r>
        <w:br/>
      </w:r>
      <w:r>
        <w:t xml:space="preserve">Presented at the International Symposium on Educational Reform and Development</w:t>
      </w:r>
      <w:r>
        <w:br/>
      </w:r>
      <w:r>
        <w:t xml:space="preserve">Dhaka, Bangladesh | 2024</w:t>
      </w:r>
    </w:p>
    <w:bookmarkStart w:id="21" w:name="abstract"/>
    <w:p>
      <w:pPr>
        <w:pStyle w:val="Heading3"/>
      </w:pPr>
      <w:r>
        <w:t xml:space="preserve">Abstract</w:t>
      </w:r>
    </w:p>
    <w:p>
      <w:pPr>
        <w:pStyle w:val="FirstParagraph"/>
      </w:pPr>
      <w:r>
        <w:t xml:space="preserve">This poster presentation outlines a comprehensive strategy for the role of a Curriculum Developer within the dynamic educational landscape of Bangladesh, with specific focus on Dhaka as the epicenter of policy and innovation. As Dhaka faces rapid urbanization and demographic shifts, traditional curriculum models are insufficient to meet modern economic demands. This document argues that effective Curriculum Development in this region requires a hybrid approach: integrating global best practices in STEM (Science, Technology, Engineering, and Mathematics) with local cultural contexts such as the Bengali language heritage and Islamic or Hindu ethical frameworks prevalent in the community. The proposed framework addresses three critical pillars: digital literacy integration, vocational skill alignment for informal economies transitioning to formal sectors, and inclusive pedagogy for diverse socioeconomic backgrounds common in Dhaka’s urban schools.</w:t>
      </w:r>
    </w:p>
    <w:bookmarkEnd w:id="21"/>
    <w:bookmarkStart w:id="22" w:name="contextual-background"/>
    <w:p>
      <w:pPr>
        <w:pStyle w:val="Heading3"/>
      </w:pPr>
      <w:r>
        <w:t xml:space="preserve">Contextual Background</w:t>
      </w:r>
    </w:p>
    <w:p>
      <w:pPr>
        <w:pStyle w:val="FirstParagraph"/>
      </w:pPr>
      <w:r>
        <w:rPr>
          <w:bCs/>
          <w:b/>
        </w:rPr>
        <w:t xml:space="preserve">The Challenge of Scale:</w:t>
      </w:r>
      <w:r>
        <w:t xml:space="preserve">Dhaka is one of the most densely populated cities in the world, hosting a vast number of primary and secondary institutions. For Curriculum Developers working in this environment, the challenge is not merely content creation but scalability and accessibility.</w:t>
      </w:r>
    </w:p>
    <w:p>
      <w:pPr>
        <w:numPr>
          <w:ilvl w:val="0"/>
          <w:numId w:val="1001"/>
        </w:numPr>
        <w:pStyle w:val="Compact"/>
      </w:pPr>
      <w:r>
        <w:rPr>
          <w:bCs/>
          <w:b/>
        </w:rPr>
        <w:t xml:space="preserve">Demographic Pressure:</w:t>
      </w:r>
      <w:r>
        <w:t xml:space="preserve"> </w:t>
      </w:r>
      <w:r>
        <w:t xml:space="preserve">High student-to-teacher ratios necessitate curricula that encourage peer-learning and self-directed study.</w:t>
      </w:r>
    </w:p>
    <w:p>
      <w:pPr>
        <w:numPr>
          <w:ilvl w:val="0"/>
          <w:numId w:val="1001"/>
        </w:numPr>
        <w:pStyle w:val="Compact"/>
      </w:pPr>
      <w:r>
        <w:rPr>
          <w:bCs/>
          <w:b/>
        </w:rPr>
        <w:t xml:space="preserve">Economic Transition:</w:t>
      </w:r>
      <w:r>
        <w:t xml:space="preserve">Bangladesh is moving from an agricultural base to a garment, tech, and service-oriented economy. The curriculum must reflect this shift.</w:t>
      </w:r>
    </w:p>
    <w:p>
      <w:pPr>
        <w:numPr>
          <w:ilvl w:val="0"/>
          <w:numId w:val="1001"/>
        </w:numPr>
        <w:pStyle w:val="Compact"/>
      </w:pPr>
      <w:r>
        <w:rPr>
          <w:bCs/>
          <w:b/>
        </w:rPr>
        <w:t xml:space="preserve">Digital Divide:</w:t>
      </w:r>
      <w:r>
        <w:t xml:space="preserve"> </w:t>
      </w:r>
      <w:r>
        <w:t xml:space="preserve">While Dhaka has seen a rise in internet penetration, disparities remain between private elite institutions and government-run schools.</w:t>
      </w:r>
    </w:p>
    <w:bookmarkEnd w:id="22"/>
    <w:bookmarkStart w:id="23" w:name="Xca8c48833b4680bb9d44e42b9a4f429284a3a79"/>
    <w:p>
      <w:pPr>
        <w:pStyle w:val="Heading3"/>
      </w:pPr>
      <w:r>
        <w:t xml:space="preserve">The Strategic Role of the Curriculum Developer</w:t>
      </w:r>
    </w:p>
    <w:p>
      <w:pPr>
        <w:pStyle w:val="FirstParagraph"/>
      </w:pPr>
      <w:r>
        <w:t xml:space="preserve">In Dhaka, a Curriculum Developer is no longer just a writer of textbooks. They are architects of learning experiences. The responsibilities include:</w:t>
      </w:r>
    </w:p>
    <w:p>
      <w:pPr>
        <w:numPr>
          <w:ilvl w:val="0"/>
          <w:numId w:val="1002"/>
        </w:numPr>
        <w:pStyle w:val="Compact"/>
      </w:pPr>
      <w:r>
        <w:rPr>
          <w:bCs/>
          <w:b/>
        </w:rPr>
        <w:t xml:space="preserve">Data-Driven Design:</w:t>
      </w:r>
      <w:r>
        <w:t xml:space="preserve"> </w:t>
      </w:r>
      <w:r>
        <w:t xml:space="preserve">Analyzing National Student Assessment data to identify gaps in critical thinking versus rote memorization.</w:t>
      </w:r>
    </w:p>
    <w:p>
      <w:pPr>
        <w:numPr>
          <w:ilvl w:val="0"/>
          <w:numId w:val="1002"/>
        </w:numPr>
        <w:pStyle w:val="Compact"/>
      </w:pPr>
      <w:r>
        <w:rPr>
          <w:bCs/>
          <w:b/>
        </w:rPr>
        <w:t xml:space="preserve">Cultural Localization:</w:t>
      </w:r>
    </w:p>
    <w:p>
      <w:pPr>
        <w:numPr>
          <w:ilvl w:val="0"/>
          <w:numId w:val="1002"/>
        </w:numPr>
        <w:pStyle w:val="Compact"/>
      </w:pPr>
      <w:r>
        <w:rPr>
          <w:bCs/>
          <w:b/>
        </w:rPr>
        <w:t xml:space="preserve">Teacher Empowerment:</w:t>
      </w:r>
    </w:p>
    <w:bookmarkEnd w:id="23"/>
    <w:bookmarkStart w:id="24" w:name="the-dhaka-adaptive-framework"/>
    <w:p>
      <w:pPr>
        <w:pStyle w:val="Heading3"/>
      </w:pPr>
      <w:r>
        <w:t xml:space="preserve">The "Dhaka Adaptive" Framework</w:t>
      </w:r>
    </w:p>
    <w:p>
      <w:pPr>
        <w:pStyle w:val="FirstParagraph"/>
      </w:pPr>
      <w:r>
        <w:t xml:space="preserve">This proposal introduces a four-stage methodology for Curriculum Developers operating in Dhaka:</w:t>
      </w:r>
    </w:p>
    <w:p>
      <w:pPr>
        <w:numPr>
          <w:ilvl w:val="0"/>
          <w:numId w:val="1003"/>
        </w:numPr>
        <w:pStyle w:val="Compact"/>
      </w:pPr>
      <w:r>
        <w:rPr>
          <w:bCs/>
          <w:b/>
        </w:rPr>
        <w:t xml:space="preserve">Audit Phase:</w:t>
      </w:r>
      <w:r>
        <w:t xml:space="preserve"> </w:t>
      </w:r>
      <w:r>
        <w:t xml:space="preserve">Assessing current infrastructure limitations (electricity, internet) and teacher capacity in target districts of Dhaka.</w:t>
      </w:r>
    </w:p>
    <w:p>
      <w:pPr>
        <w:numPr>
          <w:ilvl w:val="0"/>
          <w:numId w:val="1003"/>
        </w:numPr>
        <w:pStyle w:val="Compact"/>
      </w:pPr>
      <w:r>
        <w:rPr>
          <w:bCs/>
          <w:b/>
        </w:rPr>
        <w:t xml:space="preserve">Pilot Phase:</w:t>
      </w:r>
      <w:r>
        <w:t xml:space="preserve"> </w:t>
      </w:r>
      <w:r>
        <w:t xml:space="preserve">Implementing modular curriculum units in a controlled sample of schools across different socioeconomic zones (e.g., Gulshan vs. Mirpur).</w:t>
      </w:r>
    </w:p>
    <w:p>
      <w:pPr>
        <w:numPr>
          <w:ilvl w:val="0"/>
          <w:numId w:val="1003"/>
        </w:numPr>
        <w:pStyle w:val="Compact"/>
      </w:pPr>
      <w:r>
        <w:rPr>
          <w:bCs/>
          <w:b/>
        </w:rPr>
        <w:t xml:space="preserve">Iterative Refinement:</w:t>
      </w:r>
    </w:p>
    <w:p>
      <w:pPr>
        <w:numPr>
          <w:ilvl w:val="0"/>
          <w:numId w:val="1003"/>
        </w:numPr>
        <w:pStyle w:val="Compact"/>
      </w:pPr>
      <w:r>
        <w:rPr>
          <w:bCs/>
          <w:b/>
        </w:rPr>
        <w:t xml:space="preserve">National Integration:</w:t>
      </w:r>
    </w:p>
    <w:bookmarkEnd w:id="24"/>
    <w:bookmarkStart w:id="25" w:name="pillar-1-digital-and-stem-integration"/>
    <w:p>
      <w:pPr>
        <w:pStyle w:val="Heading3"/>
      </w:pPr>
      <w:r>
        <w:t xml:space="preserve">Pillar 1: Digital and STEM Integration</w:t>
      </w:r>
    </w:p>
    <w:p>
      <w:pPr>
        <w:pStyle w:val="FirstParagraph"/>
      </w:pPr>
      <w:r>
        <w:t xml:space="preserve">To compete globally, Dhaka’s youth must be digitally fluent. The curriculum must move beyond basic computer literacy to computational thinking. This involves:</w:t>
      </w:r>
    </w:p>
    <w:p>
      <w:pPr>
        <w:numPr>
          <w:ilvl w:val="0"/>
          <w:numId w:val="1004"/>
        </w:numPr>
        <w:pStyle w:val="Compact"/>
      </w:pPr>
      <w:r>
        <w:t xml:space="preserve">Incorporating block-based coding into primary grades.</w:t>
      </w:r>
    </w:p>
    <w:p>
      <w:pPr>
        <w:numPr>
          <w:ilvl w:val="0"/>
          <w:numId w:val="1004"/>
        </w:numPr>
        <w:pStyle w:val="Compact"/>
      </w:pPr>
      <w:r>
        <w:t xml:space="preserve">Focusing on science experiments that utilize low-cost, locally available materials, making STEM accessible even in underfunded government schools.</w:t>
      </w:r>
    </w:p>
    <w:bookmarkEnd w:id="25"/>
    <w:bookmarkStart w:id="26" w:name="pillar-2-vocational-and-soft-skills"/>
    <w:p>
      <w:pPr>
        <w:pStyle w:val="Heading3"/>
      </w:pPr>
      <w:r>
        <w:t xml:space="preserve">Pillar 2: Vocational and Soft Skills</w:t>
      </w:r>
    </w:p>
    <w:p>
      <w:pPr>
        <w:pStyle w:val="FirstParagraph"/>
      </w:pPr>
      <w:r>
        <w:t xml:space="preserve">A significant portion of Dhaka’s future workforce will not enter traditional university tracks immediately. The curriculum must:</w:t>
      </w:r>
    </w:p>
    <w:p>
      <w:pPr>
        <w:numPr>
          <w:ilvl w:val="0"/>
          <w:numId w:val="1005"/>
        </w:numPr>
        <w:pStyle w:val="Compact"/>
      </w:pPr>
      <w:r>
        <w:rPr>
          <w:bCs/>
          <w:b/>
        </w:rPr>
        <w:t xml:space="preserve">Bridge the Gap:</w:t>
      </w:r>
    </w:p>
    <w:p>
      <w:pPr>
        <w:numPr>
          <w:ilvl w:val="0"/>
          <w:numId w:val="1005"/>
        </w:numPr>
        <w:pStyle w:val="Compact"/>
      </w:pPr>
      <w:r>
        <w:rPr>
          <w:bCs/>
          <w:b/>
        </w:rPr>
        <w:t xml:space="preserve">Foster Soft Skills:</w:t>
      </w:r>
    </w:p>
    <w:bookmarkEnd w:id="26"/>
    <w:bookmarkStart w:id="27" w:name="implementation-challenges"/>
    <w:p>
      <w:pPr>
        <w:pStyle w:val="Heading3"/>
      </w:pPr>
      <w:r>
        <w:t xml:space="preserve">Implementation Challenges</w:t>
      </w:r>
    </w:p>
    <w:p>
      <w:pPr>
        <w:pStyle w:val="FirstParagraph"/>
      </w:pPr>
      <w:r>
        <w:t xml:space="preserve">Curriculum Developers must navigate specific hurdles in the Dhaka context:</w:t>
      </w:r>
    </w:p>
    <w:p>
      <w:pPr>
        <w:numPr>
          <w:ilvl w:val="0"/>
          <w:numId w:val="1006"/>
        </w:numPr>
        <w:pStyle w:val="Compact"/>
      </w:pPr>
      <w:r>
        <w:rPr>
          <w:bCs/>
          <w:b/>
        </w:rPr>
        <w:t xml:space="preserve">Instructor Resistance:</w:t>
      </w:r>
    </w:p>
    <w:p>
      <w:pPr>
        <w:numPr>
          <w:ilvl w:val="0"/>
          <w:numId w:val="1006"/>
        </w:numPr>
        <w:pStyle w:val="Compact"/>
      </w:pPr>
      <w:r>
        <w:t xml:space="preserve">Funding Constraints: Government schools require low-cost materials, while private schools can afford tech-heavy solutions. A unified curriculum must be flexible enough to cater to both.</w:t>
      </w:r>
    </w:p>
    <w:p>
      <w:pPr>
        <w:numPr>
          <w:ilvl w:val="0"/>
          <w:numId w:val="1006"/>
        </w:numPr>
        <w:pStyle w:val="Compact"/>
      </w:pPr>
      <w:r>
        <w:rPr>
          <w:bCs/>
          <w:b/>
        </w:rPr>
        <w:t xml:space="preserve">Political Volatility:</w:t>
      </w:r>
    </w:p>
    <w:bookmarkEnd w:id="27"/>
    <w:bookmarkStart w:id="28" w:name="expected-outcomes-impact"/>
    <w:p>
      <w:pPr>
        <w:pStyle w:val="Heading3"/>
      </w:pPr>
      <w:r>
        <w:t xml:space="preserve">Expected Outcomes &amp; Impact</w:t>
      </w:r>
    </w:p>
    <w:p>
      <w:pPr>
        <w:pStyle w:val="FirstParagraph"/>
      </w:pPr>
      <w:r>
        <w:t xml:space="preserve">If successfully implemented by Curriculum Developers in Dhaka, this framework aims to:</w:t>
      </w:r>
    </w:p>
    <w:p>
      <w:pPr>
        <w:numPr>
          <w:ilvl w:val="0"/>
          <w:numId w:val="1007"/>
        </w:numPr>
        <w:pStyle w:val="Compact"/>
      </w:pPr>
      <w:r>
        <w:rPr>
          <w:bCs/>
          <w:b/>
        </w:rPr>
        <w:t xml:space="preserve">Increase Employability:</w:t>
      </w:r>
    </w:p>
    <w:p>
      <w:pPr>
        <w:numPr>
          <w:ilvl w:val="0"/>
          <w:numId w:val="1007"/>
        </w:numPr>
        <w:pStyle w:val="Compact"/>
      </w:pPr>
      <w:r>
        <w:rPr>
          <w:bCs/>
          <w:b/>
        </w:rPr>
        <w:t xml:space="preserve">Enhance Equity:</w:t>
      </w:r>
    </w:p>
    <w:p>
      <w:pPr>
        <w:numPr>
          <w:ilvl w:val="0"/>
          <w:numId w:val="1007"/>
        </w:numPr>
        <w:pStyle w:val="Compact"/>
      </w:pPr>
      <w:r>
        <w:rPr>
          <w:bCs/>
          <w:b/>
        </w:rPr>
        <w:t xml:space="preserve">Foster Innovation:</w:t>
      </w:r>
    </w:p>
    <w:bookmarkEnd w:id="28"/>
    <w:bookmarkStart w:id="29" w:name="conclusion"/>
    <w:p>
      <w:pPr>
        <w:pStyle w:val="Heading3"/>
      </w:pPr>
      <w:r>
        <w:t xml:space="preserve">Conclusion</w:t>
      </w:r>
    </w:p>
    <w:p>
      <w:pPr>
        <w:pStyle w:val="FirstParagraph"/>
      </w:pPr>
      <w:r>
        <w:t xml:space="preserve">The role of a Curriculum Developer in Dhaka is pivotal to the nation’s future. It requires a delicate balance between honoring Bangladesh’s rich cultural heritage and embracing the urgent demands of globalization. By adopting adaptive, data-driven, and inclusive frameworks, developers can ensure that education in Dhaka becomes a true engine for social mobility and economic development. The time for incremental change has passed; bold, contextualized curriculum innovation is necessary to meet the challenges of the 21st century.</w:t>
      </w:r>
    </w:p>
    <w:bookmarkEnd w:id="29"/>
    <w:bookmarkStart w:id="30" w:name="references-resources"/>
    <w:p>
      <w:pPr>
        <w:pStyle w:val="Heading3"/>
      </w:pPr>
      <w:r>
        <w:t xml:space="preserve">References &amp; Resources</w:t>
      </w:r>
    </w:p>
    <w:p>
      <w:pPr>
        <w:pStyle w:val="FirstParagraph"/>
      </w:pPr>
      <w:r>
        <w:t xml:space="preserve">- Ministry of Education, Bangladesh. (2023). National Curriculum Framework Updates.</w:t>
      </w:r>
      <w:r>
        <w:br/>
      </w:r>
      <w:r>
        <w:t xml:space="preserve">- UNESCO Institute for Statistics. (2024). Digital Literacy in South Asia.</w:t>
      </w:r>
      <w:r>
        <w:br/>
      </w:r>
      <w:r>
        <w:t xml:space="preserve">- World Bank Reports on Bangladesh Educational Outcomes.</w:t>
      </w:r>
    </w:p>
    <w:bookmarkEnd w:id="30"/>
    <w:p>
      <w:pPr>
        <w:pStyle w:val="BodyText"/>
      </w:pPr>
      <w:r>
        <w:rPr>
          <w:bCs/>
          <w:b/>
        </w:rPr>
        <w:t xml:space="preserve">Contact Information:</w:t>
      </w:r>
      <w:r>
        <w:t xml:space="preserve"> </w:t>
      </w:r>
      <w:r>
        <w:t xml:space="preserve">[Email Address] | [Website URL]</w:t>
      </w: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Dhaka, Bangladesh</dc:title>
  <dc:creator/>
  <dc:language>en</dc:language>
  <cp:keywords/>
  <dcterms:created xsi:type="dcterms:W3CDTF">2026-07-29T12:42:27Z</dcterms:created>
  <dcterms:modified xsi:type="dcterms:W3CDTF">2026-07-29T12:42:27Z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