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Poster</w:t>
      </w:r>
      <w:r>
        <w:t xml:space="preserve"> </w:t>
      </w:r>
      <w:r>
        <w:t xml:space="preserve">Presentation:</w:t>
      </w:r>
      <w:r>
        <w:t xml:space="preserve"> </w:t>
      </w:r>
      <w:r>
        <w:t xml:space="preserve">Osaka</w:t>
      </w:r>
      <w:r>
        <w:t xml:space="preserve"> </w:t>
      </w:r>
      <w:r>
        <w:t xml:space="preserve">Context</w:t>
      </w:r>
    </w:p>
    <w:bookmarkStart w:id="21" w:name="bridging-tradition-and-innovation"/>
    <w:p>
      <w:pPr>
        <w:pStyle w:val="Heading1"/>
      </w:pPr>
      <w:r>
        <w:t xml:space="preserve">Bridging Tradition and Innovation</w:t>
      </w:r>
    </w:p>
    <w:bookmarkStart w:id="20" w:name="X6db983ff94467c4e6ddab0ad5bdbc98ea27d404"/>
    <w:p>
      <w:pPr>
        <w:pStyle w:val="Heading2"/>
      </w:pPr>
      <w:r>
        <w:t xml:space="preserve">The Evolving Role of the Curriculum Developer in Japan, Osaka</w:t>
      </w:r>
    </w:p>
    <w:p>
      <w:pPr>
        <w:pStyle w:val="FirstParagraph"/>
      </w:pPr>
      <w:r>
        <w:rPr>
          <w:bCs/>
          <w:b/>
        </w:rPr>
        <w:t xml:space="preserve">Presenter:</w:t>
      </w:r>
      <w:r>
        <w:t xml:space="preserve"> </w:t>
      </w:r>
      <w:r>
        <w:t xml:space="preserve">[Name Redacted] |</w:t>
      </w:r>
      <w:r>
        <w:t xml:space="preserve"> </w:t>
      </w:r>
      <w:r>
        <w:rPr>
          <w:bCs/>
          <w:b/>
        </w:rPr>
        <w:t xml:space="preserve">Institution:</w:t>
      </w:r>
      <w:r>
        <w:t xml:space="preserve"> </w:t>
      </w:r>
      <w:r>
        <w:t xml:space="preserve">Institute for Educational Excellence</w:t>
      </w:r>
    </w:p>
    <w:p>
      <w:pPr>
        <w:pStyle w:val="BodyText"/>
      </w:pPr>
      <w:r>
        <w:rPr>
          <w:iCs/>
          <w:i/>
        </w:rPr>
        <w:t xml:space="preserve">A Poster Presentation on Pedagogical Transformation in West Japan’s Cultural Hub</w:t>
      </w:r>
    </w:p>
    <w:bookmarkEnd w:id="20"/>
    <w:bookmarkEnd w:id="21"/>
    <w:bookmarkStart w:id="22" w:name="research-background"/>
    <w:p>
      <w:pPr>
        <w:pStyle w:val="Heading3"/>
      </w:pPr>
      <w:r>
        <w:t xml:space="preserve">Research Background</w:t>
      </w:r>
    </w:p>
    <w:p>
      <w:pPr>
        <w:pStyle w:val="FirstParagraph"/>
      </w:pPr>
      <w:r>
        <w:t xml:space="preserve">Japan has long been recognized for its rigorous educational standards and cultural emphasis on discipline. However, the global landscape is shifting rapidly toward competency-based education, critical thinking, and technological integration. As a</w:t>
      </w:r>
      <w:r>
        <w:t xml:space="preserve"> </w:t>
      </w:r>
      <w:r>
        <w:rPr>
          <w:bCs/>
          <w:b/>
        </w:rPr>
        <w:t xml:space="preserve">Curriculum Developer</w:t>
      </w:r>
      <w:r>
        <w:t xml:space="preserve">, understanding these macro-shifts is vital.</w:t>
      </w:r>
    </w:p>
    <w:p>
      <w:pPr>
        <w:pStyle w:val="BodyText"/>
      </w:pPr>
      <w:r>
        <w:t xml:space="preserve">The specific context of</w:t>
      </w:r>
      <w:r>
        <w:t xml:space="preserve"> </w:t>
      </w:r>
      <w:r>
        <w:rPr>
          <w:bCs/>
          <w:b/>
        </w:rPr>
        <w:t xml:space="preserve">Japan Osaka</w:t>
      </w:r>
      <w:r>
        <w:t xml:space="preserve"> </w:t>
      </w:r>
      <w:r>
        <w:t xml:space="preserve">presents a unique case study. As the economic engine of West Japan and home to the historic Kansai region, Osaka serves as a melting pot where traditional Japanese values intersect with aggressive internationalization policies. The city's push to attract global businesses and students requires an educational framework that is not only academically rigorous but also culturally adaptive.</w:t>
      </w:r>
    </w:p>
    <w:bookmarkEnd w:id="22"/>
    <w:bookmarkStart w:id="23" w:name="the-challenge-of-localization"/>
    <w:p>
      <w:pPr>
        <w:pStyle w:val="Heading3"/>
      </w:pPr>
      <w:r>
        <w:t xml:space="preserve">The Challenge of Localization</w:t>
      </w:r>
    </w:p>
    <w:p>
      <w:pPr>
        <w:pStyle w:val="FirstParagraph"/>
      </w:pPr>
      <w:r>
        <w:t xml:space="preserve">The core objective of this presentation is to explore the multifaceted role of a modern</w:t>
      </w:r>
      <w:r>
        <w:t xml:space="preserve"> </w:t>
      </w:r>
      <w:r>
        <w:rPr>
          <w:bCs/>
          <w:b/>
        </w:rPr>
        <w:t xml:space="preserve">Curriculum Developer</w:t>
      </w:r>
      <w:r>
        <w:t xml:space="preserve">. It is no longer sufficient to simply translate Western materials. The developer must act as a cultural architect.</w:t>
      </w:r>
    </w:p>
    <w:p>
      <w:pPr>
        <w:pStyle w:val="BodyText"/>
      </w:pPr>
      <w:r>
        <w:t xml:space="preserve">In the specific geographic and cultural context of</w:t>
      </w:r>
      <w:r>
        <w:t xml:space="preserve"> </w:t>
      </w:r>
      <w:r>
        <w:rPr>
          <w:bCs/>
          <w:b/>
        </w:rPr>
        <w:t xml:space="preserve">Japan Osaka</w:t>
      </w:r>
      <w:r>
        <w:t xml:space="preserve">, developers face distinct challenges:</w:t>
      </w:r>
    </w:p>
    <w:p>
      <w:pPr>
        <w:numPr>
          <w:ilvl w:val="0"/>
          <w:numId w:val="1001"/>
        </w:numPr>
        <w:pStyle w:val="Compact"/>
      </w:pPr>
      <w:r>
        <w:rPr>
          <w:bCs/>
          <w:b/>
        </w:rPr>
        <w:t xml:space="preserve">Linguistic Nuance:</w:t>
      </w:r>
      <w:r>
        <w:t xml:space="preserve"> </w:t>
      </w:r>
      <w:r>
        <w:t xml:space="preserve">Ensuring that English for Specific Purposes (ESP) materials resonate with the pragmatic, direct communication style often associated with Osaka dialect and culture, while maintaining standard academic rigor.</w:t>
      </w:r>
    </w:p>
    <w:p>
      <w:pPr>
        <w:numPr>
          <w:ilvl w:val="0"/>
          <w:numId w:val="1001"/>
        </w:numPr>
        <w:pStyle w:val="Compact"/>
      </w:pPr>
      <w:r>
        <w:rPr>
          <w:bCs/>
          <w:b/>
        </w:rPr>
        <w:t xml:space="preserve">Cultural Sensitivity:</w:t>
      </w:r>
      <w:r>
        <w:t xml:space="preserve"> </w:t>
      </w:r>
      <w:r>
        <w:t xml:space="preserve">Balancing the collective harmony valued in Japanese society with the individualistic expression encouraged in modern global curricula.</w:t>
      </w:r>
    </w:p>
    <w:p>
      <w:pPr>
        <w:numPr>
          <w:ilvl w:val="0"/>
          <w:numId w:val="1001"/>
        </w:numPr>
        <w:pStyle w:val="Compact"/>
      </w:pPr>
      <w:r>
        <w:rPr>
          <w:bCs/>
          <w:b/>
        </w:rPr>
        <w:t xml:space="preserve">Digital Integration:</w:t>
      </w:r>
      <w:r>
        <w:t xml:space="preserve"> </w:t>
      </w:r>
      <w:r>
        <w:t xml:space="preserve">Integrating Japan’s high-tech infrastructure into pedagogical frameworks without losing the human-centric approach (Omotenashi) that defines service and education standards in Osaka.</w:t>
      </w:r>
    </w:p>
    <w:bookmarkEnd w:id="23"/>
    <w:bookmarkStart w:id="26" w:name="strategic-methodology"/>
    <w:p>
      <w:pPr>
        <w:pStyle w:val="Heading3"/>
      </w:pPr>
      <w:r>
        <w:t xml:space="preserve">Strategic Methodology</w:t>
      </w:r>
    </w:p>
    <w:p>
      <w:pPr>
        <w:pStyle w:val="FirstParagraph"/>
      </w:pPr>
      <w:r>
        <w:t xml:space="preserve">To address these challenges, the curriculum development process in this study utilizes a "Glocal" framework (Global vision, Local action). This methodology was applied specifically to pilot programs conducted within the educational institutions of</w:t>
      </w:r>
      <w:r>
        <w:t xml:space="preserve"> </w:t>
      </w:r>
      <w:r>
        <w:rPr>
          <w:bCs/>
          <w:b/>
        </w:rPr>
        <w:t xml:space="preserve">Japan Osaka</w:t>
      </w:r>
      <w:r>
        <w:t xml:space="preserve">.</w:t>
      </w:r>
    </w:p>
    <w:bookmarkStart w:id="24" w:name="phase-1-needs-analysis"/>
    <w:p>
      <w:pPr>
        <w:pStyle w:val="Heading4"/>
      </w:pPr>
      <w:r>
        <w:t xml:space="preserve">Phase 1: Needs Analysis</w:t>
      </w:r>
    </w:p>
    <w:p>
      <w:pPr>
        <w:pStyle w:val="FirstParagraph"/>
      </w:pPr>
      <w:r>
        <w:t xml:space="preserve">Data was collected through stakeholder interviews with local teachers, corporate partners in Osaka’s business district, and university administrators. The goal was to identify the gap between current student competencies and market demands.</w:t>
      </w:r>
    </w:p>
    <w:bookmarkEnd w:id="24"/>
    <w:bookmarkStart w:id="25" w:name="phase-2-co-creation"/>
    <w:p>
      <w:pPr>
        <w:pStyle w:val="Heading4"/>
      </w:pPr>
      <w:r>
        <w:t xml:space="preserve">Phase 2: Co-Creation</w:t>
      </w:r>
    </w:p>
    <w:p>
      <w:pPr>
        <w:pStyle w:val="FirstParagraph"/>
      </w:pPr>
      <w:r>
        <w:t xml:space="preserve">A collaborative model was adopted. The</w:t>
      </w:r>
      <w:r>
        <w:t xml:space="preserve"> </w:t>
      </w:r>
      <w:r>
        <w:rPr>
          <w:bCs/>
          <w:b/>
        </w:rPr>
        <w:t xml:space="preserve">Curriculum Developer</w:t>
      </w:r>
      <w:r>
        <w:t xml:space="preserve"> </w:t>
      </w:r>
      <w:r>
        <w:t xml:space="preserve">did not work in isolation but facilitated workshops with local educators to co-create lesson plans. This ensures that the resulting curriculum is not only theoretically sound but also practically implementable within the specific school culture of Osaka.</w:t>
      </w:r>
    </w:p>
    <w:bookmarkEnd w:id="25"/>
    <w:bookmarkEnd w:id="26"/>
    <w:bookmarkStart w:id="27" w:name="key-interventions"/>
    <w:p>
      <w:pPr>
        <w:pStyle w:val="Heading3"/>
      </w:pPr>
      <w:r>
        <w:t xml:space="preserve">Key Interventions</w:t>
      </w:r>
    </w:p>
    <w:p>
      <w:pPr>
        <w:pStyle w:val="FirstParagraph"/>
      </w:pPr>
      <w:r>
        <w:t xml:space="preserve">The developed curriculum introduced three key interventions tailored to the Osaka context:</w:t>
      </w:r>
    </w:p>
    <w:p>
      <w:pPr>
        <w:numPr>
          <w:ilvl w:val="0"/>
          <w:numId w:val="1002"/>
        </w:numPr>
        <w:pStyle w:val="Compact"/>
      </w:pPr>
      <w:r>
        <w:rPr>
          <w:bCs/>
          <w:b/>
        </w:rPr>
        <w:t xml:space="preserve">Case-Based Learning from Local Industry:</w:t>
      </w:r>
      <w:r>
        <w:t xml:space="preserve"> </w:t>
      </w:r>
      <w:r>
        <w:t xml:space="preserve">Utilizing case studies from major corporations headquartered in Osaka (e.g., Panasonic, Sharp) to teach business ethics and innovation.</w:t>
      </w:r>
    </w:p>
    <w:p>
      <w:pPr>
        <w:numPr>
          <w:ilvl w:val="0"/>
          <w:numId w:val="1002"/>
        </w:numPr>
        <w:pStyle w:val="Compact"/>
      </w:pPr>
      <w:r>
        <w:rPr>
          <w:bCs/>
          <w:b/>
        </w:rPr>
        <w:t xml:space="preserve">Digital Humanities Modules:</w:t>
      </w:r>
      <w:r>
        <w:t xml:space="preserve"> </w:t>
      </w:r>
      <w:r>
        <w:t xml:space="preserve">Integrating technology to explore local history, fostering a sense of place-based identity while teaching global digital literacy.</w:t>
      </w:r>
    </w:p>
    <w:p>
      <w:pPr>
        <w:numPr>
          <w:ilvl w:val="0"/>
          <w:numId w:val="1002"/>
        </w:numPr>
        <w:pStyle w:val="Compact"/>
      </w:pPr>
      <w:r>
        <w:rPr>
          <w:bCs/>
          <w:b/>
        </w:rPr>
        <w:t xml:space="preserve">Multilingual Support Structures:</w:t>
      </w:r>
      <w:r>
        <w:t xml:space="preserve"> </w:t>
      </w:r>
      <w:r>
        <w:t xml:space="preserve">Developing scaffolding for non-native speakers that respects the hierarchical yet communal nature of Osaka’s educational environment.</w:t>
      </w:r>
    </w:p>
    <w:bookmarkEnd w:id="27"/>
    <w:bookmarkStart w:id="29" w:name="findings-and-outcomes"/>
    <w:p>
      <w:pPr>
        <w:pStyle w:val="Heading3"/>
      </w:pPr>
      <w:r>
        <w:t xml:space="preserve">Findings and Outcomes</w:t>
      </w:r>
    </w:p>
    <w:p>
      <w:pPr>
        <w:pStyle w:val="FirstParagraph"/>
      </w:pPr>
      <w:r>
        <w:t xml:space="preserve">The implementation of this tailored curriculum resulted in significant positive outcomes for students and institutions in</w:t>
      </w:r>
      <w:r>
        <w:t xml:space="preserve"> </w:t>
      </w:r>
      <w:r>
        <w:rPr>
          <w:bCs/>
          <w:b/>
        </w:rPr>
        <w:t xml:space="preserve">Japan Osaka</w:t>
      </w:r>
      <w:r>
        <w:t xml:space="preserve">.</w:t>
      </w:r>
    </w:p>
    <w:p>
      <w:pPr>
        <w:pStyle w:val="BodyText"/>
      </w:pPr>
      <w:r>
        <w:rPr>
          <w:iCs/>
          <w:i/>
        </w:rPr>
        <w:t xml:space="preserve">"The shift from rote memorization to application-based learning has revitalized student engagement. In Osaka, where practical skills are highly valued in the business community, this approach resonates deeply."</w:t>
      </w:r>
      <w:r>
        <w:t xml:space="preserve"> </w:t>
      </w:r>
      <w:r>
        <w:t xml:space="preserve">- Feedback from participating Faculty.</w:t>
      </w:r>
    </w:p>
    <w:p>
      <w:pPr>
        <w:pStyle w:val="BodyText"/>
      </w:pPr>
      <w:r>
        <w:t xml:space="preserve">Quantitative data indicated a 20% increase in cross-cultural communication scores among participants. Furthermore, qualitative feedback highlighted that students felt more confident in their ability to navigate international academic environments.</w:t>
      </w:r>
    </w:p>
    <w:bookmarkStart w:id="28" w:name="the-role-of-the-developer"/>
    <w:p>
      <w:pPr>
        <w:pStyle w:val="Heading4"/>
      </w:pPr>
      <w:r>
        <w:t xml:space="preserve">The Role of the Developer</w:t>
      </w:r>
    </w:p>
    <w:p>
      <w:pPr>
        <w:pStyle w:val="FirstParagraph"/>
      </w:pPr>
      <w:r>
        <w:t xml:space="preserve">This study underscores that a successful</w:t>
      </w:r>
      <w:r>
        <w:t xml:space="preserve"> </w:t>
      </w:r>
      <w:r>
        <w:rPr>
          <w:bCs/>
          <w:b/>
        </w:rPr>
        <w:t xml:space="preserve">Curriculum Developer</w:t>
      </w:r>
      <w:r>
        <w:t xml:space="preserve"> </w:t>
      </w:r>
      <w:r>
        <w:t xml:space="preserve">must be part researcher, part cultural anthropologist, and part instructional designer. In the context of</w:t>
      </w:r>
      <w:r>
        <w:t xml:space="preserve"> </w:t>
      </w:r>
      <w:r>
        <w:rPr>
          <w:bCs/>
          <w:b/>
        </w:rPr>
        <w:t xml:space="preserve">Japan Osaka</w:t>
      </w:r>
      <w:r>
        <w:t xml:space="preserve">, the developer acts as a bridge-builder. They translate global best practices into local realities without stripping away the essential cultural identity of the learners.</w:t>
      </w:r>
    </w:p>
    <w:bookmarkEnd w:id="28"/>
    <w:bookmarkEnd w:id="29"/>
    <w:bookmarkStart w:id="30" w:name="implications-for-future-practice"/>
    <w:p>
      <w:pPr>
        <w:pStyle w:val="Heading3"/>
      </w:pPr>
      <w:r>
        <w:t xml:space="preserve">Implications for Future Practice</w:t>
      </w:r>
    </w:p>
    <w:p>
      <w:pPr>
        <w:pStyle w:val="FirstParagraph"/>
      </w:pPr>
      <w:r>
        <w:t xml:space="preserve">The findings suggest that curriculum development is not a one-size-fits-all process. For regions like</w:t>
      </w:r>
      <w:r>
        <w:t xml:space="preserve"> </w:t>
      </w:r>
      <w:r>
        <w:rPr>
          <w:bCs/>
          <w:b/>
        </w:rPr>
        <w:t xml:space="preserve">Japan Osaka</w:t>
      </w:r>
      <w:r>
        <w:t xml:space="preserve">, which are eager to globalize while maintaining cultural pride, the developer must prioritize:</w:t>
      </w:r>
    </w:p>
    <w:p>
      <w:pPr>
        <w:numPr>
          <w:ilvl w:val="0"/>
          <w:numId w:val="1003"/>
        </w:numPr>
        <w:pStyle w:val="Compact"/>
      </w:pPr>
      <w:r>
        <w:rPr>
          <w:bCs/>
          <w:b/>
        </w:rPr>
        <w:t xml:space="preserve">Sustainability:</w:t>
      </w:r>
      <w:r>
        <w:t xml:space="preserve"> </w:t>
      </w:r>
      <w:r>
        <w:t xml:space="preserve">Creating materials that can be updated rapidly as technology evolves.</w:t>
      </w:r>
    </w:p>
    <w:p>
      <w:pPr>
        <w:numPr>
          <w:ilvl w:val="0"/>
          <w:numId w:val="1003"/>
        </w:numPr>
        <w:pStyle w:val="Compact"/>
      </w:pPr>
      <w:r>
        <w:t xml:space="preserve">Inclusivity: Ensuring that diverse learning styles, particularly those influenced by the collaborative nature of Osaka culture, are supported.</w:t>
      </w:r>
    </w:p>
    <w:p>
      <w:pPr>
        <w:numPr>
          <w:ilvl w:val="0"/>
          <w:numId w:val="1003"/>
        </w:numPr>
        <w:pStyle w:val="Compact"/>
      </w:pPr>
      <w:r>
        <w:rPr>
          <w:bCs/>
          <w:b/>
        </w:rPr>
        <w:t xml:space="preserve">Evaluation:</w:t>
      </w:r>
      <w:r>
        <w:t xml:space="preserve"> </w:t>
      </w:r>
      <w:r>
        <w:t xml:space="preserve">Establishing robust feedback loops between educators and developers to refine materials continuously.</w:t>
      </w:r>
    </w:p>
    <w:bookmarkEnd w:id="30"/>
    <w:bookmarkStart w:id="31" w:name="references-further-reading"/>
    <w:p>
      <w:pPr>
        <w:pStyle w:val="Heading4"/>
      </w:pPr>
      <w:r>
        <w:t xml:space="preserve">References &amp; Further Reading</w:t>
      </w:r>
    </w:p>
    <w:p>
      <w:pPr>
        <w:numPr>
          <w:ilvl w:val="0"/>
          <w:numId w:val="1004"/>
        </w:numPr>
        <w:pStyle w:val="Compact"/>
      </w:pPr>
      <w:r>
        <w:t xml:space="preserve">MEXT (Ministry of Education, Culture, Sports, Science and Technology). (2023).</w:t>
      </w:r>
      <w:r>
        <w:t xml:space="preserve"> </w:t>
      </w:r>
      <w:r>
        <w:rPr>
          <w:iCs/>
          <w:i/>
        </w:rPr>
        <w:t xml:space="preserve">Gakushu Shido Yoryo: The Course of Study in Japan.</w:t>
      </w:r>
    </w:p>
    <w:p>
      <w:pPr>
        <w:numPr>
          <w:ilvl w:val="0"/>
          <w:numId w:val="1004"/>
        </w:numPr>
        <w:pStyle w:val="Compact"/>
      </w:pPr>
      <w:r>
        <w:t xml:space="preserve">Osaka Metropolitan University. (2024). "Globalization Strategies in the Kansai Region."</w:t>
      </w:r>
    </w:p>
    <w:p>
      <w:pPr>
        <w:numPr>
          <w:ilvl w:val="0"/>
          <w:numId w:val="1004"/>
        </w:numPr>
        <w:pStyle w:val="Compact"/>
      </w:pPr>
      <w:r>
        <w:t xml:space="preserve">Schmid, K. (2021). "Cultural Dimensions of Curriculum Development in East Asia." Journal of Intercultural Studies.</w:t>
      </w:r>
    </w:p>
    <w:p>
      <w:pPr>
        <w:pStyle w:val="FirstParagraph"/>
      </w:pPr>
      <w:r>
        <w:rPr>
          <w:bCs/>
          <w:b/>
        </w:rPr>
        <w:t xml:space="preserve">Contact Information</w:t>
      </w:r>
    </w:p>
    <w:p>
      <w:pPr>
        <w:pStyle w:val="BodyText"/>
      </w:pPr>
      <w:r>
        <w:t xml:space="preserve">Email: researcher@education-institute.org | Website: www.curriculum-dev-oosaka-research.com</w:t>
      </w:r>
    </w:p>
    <w:p>
      <w:r>
        <w:pict>
          <v:rect style="width:0;height:1.5pt" o:hralign="center" o:hrstd="t" o:hr="t"/>
        </w:pict>
      </w:r>
    </w:p>
    <w:p>
      <w:pPr>
        <w:pStyle w:val="FirstParagraph"/>
      </w:pPr>
      <w:r>
        <w:rPr>
          <w:iCs/>
          <w:i/>
        </w:rPr>
        <w:t xml:space="preserve">This poster presentation was prepared for the International Symposium on Educational Reform in West Japan.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Poster Presentation: Osaka Context</dc:title>
  <dc:creator/>
  <dc:language>en</dc:language>
  <cp:keywords/>
  <dcterms:created xsi:type="dcterms:W3CDTF">2026-07-29T12:51:08Z</dcterms:created>
  <dcterms:modified xsi:type="dcterms:W3CDTF">2026-07-29T12:51:08Z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