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Curriculum</w:t>
      </w:r>
      <w:r>
        <w:t xml:space="preserve"> </w:t>
      </w:r>
      <w:r>
        <w:t xml:space="preserve">Development</w:t>
      </w:r>
      <w:r>
        <w:t xml:space="preserve"> </w:t>
      </w:r>
      <w:r>
        <w:t xml:space="preserve">in</w:t>
      </w:r>
      <w:r>
        <w:t xml:space="preserve"> </w:t>
      </w:r>
      <w:r>
        <w:t xml:space="preserve">the</w:t>
      </w:r>
      <w:r>
        <w:t xml:space="preserve"> </w:t>
      </w:r>
      <w:r>
        <w:t xml:space="preserve">Netherlands</w:t>
      </w:r>
    </w:p>
    <w:bookmarkStart w:id="20" w:name="affiliation"/>
    <w:p>
      <w:pPr>
        <w:pStyle w:val="Heading3"/>
      </w:pPr>
      <w:r>
        <w:rPr>
          <w:bCs/>
          <w:b/>
        </w:rPr>
        <w:t xml:space="preserve">Affiliation:</w:t>
      </w:r>
    </w:p>
    <w:p>
      <w:pPr>
        <w:pStyle w:val="FirstParagraph"/>
      </w:pPr>
      <w:r>
        <w:t xml:space="preserve">Department of Educational Studies</w:t>
      </w:r>
      <w:r>
        <w:br/>
      </w:r>
      <w:r>
        <w:t xml:space="preserve">Faculty of Social and Behavioural Sciences</w:t>
      </w:r>
      <w:r>
        <w:br/>
      </w:r>
      <w:r>
        <w:t xml:space="preserve">University of Amsterdam (UvA)</w:t>
      </w:r>
      <w:r>
        <w:br/>
      </w:r>
      <w:r>
        <w:br/>
      </w:r>
    </w:p>
    <w:bookmarkEnd w:id="20"/>
    <w:bookmarkStart w:id="21" w:name="abstract"/>
    <w:p>
      <w:pPr>
        <w:pStyle w:val="Heading2"/>
      </w:pPr>
      <w:r>
        <w:t xml:space="preserve">Abstract</w:t>
      </w:r>
    </w:p>
    <w:p>
      <w:pPr>
        <w:pStyle w:val="FirstParagraph"/>
      </w:pPr>
      <w:r>
        <w:rPr>
          <w:bCs/>
          <w:b/>
        </w:rPr>
        <w:t xml:space="preserve">Title:</w:t>
      </w:r>
      <w:r>
        <w:t xml:space="preserve"> </w:t>
      </w:r>
      <w:r>
        <w:t xml:space="preserve">Navigating Complexity: The Role of the Curriculum Developer in the Dutch Educational Landscape.</w:t>
      </w:r>
    </w:p>
    <w:p>
      <w:pPr>
        <w:pStyle w:val="BodyText"/>
      </w:pPr>
      <w:r>
        <w:t xml:space="preserve">This academic poster explores the evolving responsibilities of a Curriculum Developer within the unique educational ecosystem of Netherlands Amsterdam. As a global hub for higher education and innovation, Amsterdam serves as a critical testing ground for progressive pedagogical frameworks. This study examines how curriculum developers in this region must balance national regulatory standards set by the Dutch Ministry of Education with the international demands of diverse student populations.</w:t>
      </w:r>
    </w:p>
    <w:p>
      <w:pPr>
        <w:pStyle w:val="BodyText"/>
      </w:pPr>
      <w:r>
        <w:t xml:space="preserve">We argue that effective curriculum development in Netherlands Amsterdam requires a tripartite focus: digital integration, intercultural competence, and lifelong learning adaptability. Through a mixed-methods approach involving interviews with local educational leaders and case studies from Amsterdam-based institutions such as the University of Amsterdam and HBO (University of Applied Sciences) programs, we identify key challenges in aligning traditional academic rigor with modern employability skills.</w:t>
      </w:r>
    </w:p>
    <w:bookmarkEnd w:id="21"/>
    <w:bookmarkStart w:id="22" w:name="introduction-context"/>
    <w:p>
      <w:pPr>
        <w:pStyle w:val="Heading2"/>
      </w:pPr>
      <w:r>
        <w:t xml:space="preserve">Introduction &amp; Context</w:t>
      </w:r>
    </w:p>
    <w:p>
      <w:pPr>
        <w:pStyle w:val="FirstParagraph"/>
      </w:pPr>
      <w:r>
        <w:t xml:space="preserve">The role of a Curriculum Developer has shifted significantly from simple content organization to strategic educational design. In Netherlands Amsterdam, this shift is accelerated by the city’s status as a multicultural metropolis and its high concentration of international students. The curriculum developer is no longer just an instructional designer but a mediator between local cultural heritage and global academic standards.</w:t>
      </w:r>
    </w:p>
    <w:p>
      <w:pPr>
        <w:pStyle w:val="BodyText"/>
      </w:pPr>
      <w:r>
        <w:rPr>
          <w:bCs/>
          <w:b/>
        </w:rPr>
        <w:t xml:space="preserve">Key Objectives:</w:t>
      </w:r>
    </w:p>
    <w:p>
      <w:pPr>
        <w:numPr>
          <w:ilvl w:val="0"/>
          <w:numId w:val="1001"/>
        </w:numPr>
        <w:pStyle w:val="Compact"/>
      </w:pPr>
      <w:r>
        <w:t xml:space="preserve">To analyze the specific constraints placed on curriculum developers by Dutch accreditation bodies (NVAO).</w:t>
      </w:r>
    </w:p>
    <w:p>
      <w:pPr>
        <w:numPr>
          <w:ilvl w:val="0"/>
          <w:numId w:val="1001"/>
        </w:numPr>
        <w:pStyle w:val="Compact"/>
      </w:pPr>
      <w:r>
        <w:t xml:space="preserve">To evaluate the impact of Amsterdam’s diverse student demographic on course design.</w:t>
      </w:r>
    </w:p>
    <w:p>
      <w:pPr>
        <w:numPr>
          <w:ilvl w:val="0"/>
          <w:numId w:val="1001"/>
        </w:numPr>
        <w:pStyle w:val="Compact"/>
      </w:pPr>
      <w:r>
        <w:t xml:space="preserve">To propose a framework for "Adaptive Curriculum Design" that prioritizes flexibility and inclusivity.</w:t>
      </w:r>
    </w:p>
    <w:bookmarkEnd w:id="22"/>
    <w:bookmarkStart w:id="23" w:name="theoretical-framework"/>
    <w:p>
      <w:pPr>
        <w:pStyle w:val="Heading2"/>
      </w:pPr>
      <w:r>
        <w:t xml:space="preserve">Theoretical Framework</w:t>
      </w:r>
    </w:p>
    <w:p>
      <w:pPr>
        <w:pStyle w:val="FirstParagraph"/>
      </w:pPr>
      <w:r>
        <w:t xml:space="preserve">This research is grounded in Constructivist Learning Theory, emphasizing the active role of learners in constructing knowledge. Additionally, we utilize TPACK (Technological Pedagogical Content Knowledge) framework to assess how technology integration influences curriculum structure in Amsterdam’s tech-forward educational environment.</w:t>
      </w:r>
    </w:p>
    <w:bookmarkEnd w:id="23"/>
    <w:bookmarkStart w:id="25" w:name="methodology"/>
    <w:p>
      <w:pPr>
        <w:pStyle w:val="Heading2"/>
      </w:pPr>
      <w:r>
        <w:t xml:space="preserve">Methodology</w:t>
      </w:r>
    </w:p>
    <w:p>
      <w:pPr>
        <w:pStyle w:val="FirstParagraph"/>
      </w:pPr>
      <w:r>
        <w:rPr>
          <w:bCs/>
          <w:b/>
        </w:rPr>
        <w:t xml:space="preserve">Mixed-Methods Approach:</w:t>
      </w:r>
    </w:p>
    <w:p>
      <w:pPr>
        <w:pStyle w:val="BodyText"/>
      </w:pPr>
      <w:r>
        <w:t xml:space="preserve">We employed a concurrent triangulation design. Qualitative data was gathered through semi-structured interviews with 15 curriculum developers currently working in higher education institutions across Netherlands Amsterdam. Quantitative data included an analysis of course syllabi and student satisfaction surveys from three major universities located in the city.</w:t>
      </w:r>
    </w:p>
    <w:bookmarkStart w:id="24" w:name="data-collection-instruments"/>
    <w:p>
      <w:pPr>
        <w:pStyle w:val="Heading3"/>
      </w:pPr>
      <w:r>
        <w:t xml:space="preserve">Data Collection Instruments</w:t>
      </w:r>
    </w:p>
    <w:p>
      <w:pPr>
        <w:numPr>
          <w:ilvl w:val="0"/>
          <w:numId w:val="1002"/>
        </w:numPr>
        <w:pStyle w:val="Compact"/>
      </w:pPr>
      <w:r>
        <w:rPr>
          <w:bCs/>
          <w:b/>
        </w:rPr>
        <w:t xml:space="preserve">Semi-Structured Interviews:</w:t>
      </w:r>
      <w:r>
        <w:t xml:space="preserve"> </w:t>
      </w:r>
      <w:r>
        <w:t xml:space="preserve">Focused on challenges regarding localization vs. globalization of content.</w:t>
      </w:r>
    </w:p>
    <w:p>
      <w:pPr>
        <w:numPr>
          <w:ilvl w:val="0"/>
          <w:numId w:val="1002"/>
        </w:numPr>
        <w:pStyle w:val="Compact"/>
      </w:pPr>
      <w:r>
        <w:rPr>
          <w:bCs/>
          <w:b/>
        </w:rPr>
        <w:t xml:space="preserve">Syllabus Analysis:</w:t>
      </w:r>
      <w:r>
        <w:t xml:space="preserve"> </w:t>
      </w:r>
      <w:r>
        <w:t xml:space="preserve">Examined learning outcomes for alignment with Bloom’s Taxonomy and Dutch national qualification frameworks.</w:t>
      </w:r>
    </w:p>
    <w:p>
      <w:pPr>
        <w:numPr>
          <w:ilvl w:val="0"/>
          <w:numId w:val="1002"/>
        </w:numPr>
        <w:pStyle w:val="Compact"/>
      </w:pPr>
      <w:r>
        <w:t xml:space="preserve">Student Feedback: Aggregated data from course evaluations to measure engagement levels in newly developed curricula.</w:t>
      </w:r>
    </w:p>
    <w:bookmarkEnd w:id="24"/>
    <w:bookmarkEnd w:id="25"/>
    <w:bookmarkStart w:id="26" w:name="results-the-amsterdam-model"/>
    <w:p>
      <w:pPr>
        <w:pStyle w:val="Heading2"/>
      </w:pPr>
      <w:r>
        <w:t xml:space="preserve">Results: The Amsterdam Model</w:t>
      </w:r>
    </w:p>
    <w:p>
      <w:pPr>
        <w:pStyle w:val="FirstParagraph"/>
      </w:pPr>
      <w:r>
        <w:t xml:space="preserve">Finding 1: Digital-First Integration</w:t>
      </w:r>
    </w:p>
    <w:p>
      <w:pPr>
        <w:pStyle w:val="BodyText"/>
      </w:pPr>
      <w:r>
        <w:t xml:space="preserve">Results indicate that 78% of curriculum developers in Netherlands Amsterdam prioritize digital literacy as a core competency, not an elective. This reflects the city’s strong tech sector and the expectation for graduates to be digitally fluent.</w:t>
      </w:r>
    </w:p>
    <w:p>
      <w:pPr>
        <w:pStyle w:val="BodyText"/>
      </w:pPr>
      <w:r>
        <w:t xml:space="preserve">Finding 2: Intercultural Sensitivity</w:t>
      </w:r>
    </w:p>
    <w:p>
      <w:pPr>
        <w:pStyle w:val="BodyText"/>
      </w:pPr>
      <w:r>
        <w:t xml:space="preserve">Developers report a significant increase in demand for materials that reflect diverse cultural perspectives. The curriculum developer must ensure content is inclusive of the diverse backgrounds present in Amsterdam classrooms.</w:t>
      </w:r>
    </w:p>
    <w:bookmarkEnd w:id="26"/>
    <w:bookmarkStart w:id="27" w:name="discussion"/>
    <w:p>
      <w:pPr>
        <w:pStyle w:val="Heading2"/>
      </w:pPr>
      <w:r>
        <w:t xml:space="preserve">Discussion</w:t>
      </w:r>
    </w:p>
    <w:p>
      <w:pPr>
        <w:pStyle w:val="FirstParagraph"/>
      </w:pPr>
      <w:r>
        <w:t xml:space="preserve">The data suggests that the Curriculum Developer in Netherlands Amsterdam operates at a complex intersection. They are constrained by strict Dutch educational laws which emphasize critical thinking and independence, yet they must also cater to international students who may require different scaffolding techniques.</w:t>
      </w:r>
    </w:p>
    <w:p>
      <w:pPr>
        <w:pStyle w:val="BodyText"/>
      </w:pPr>
      <w:r>
        <w:t xml:space="preserve">A major challenge identified is the "translation gap." While learning outcomes are often written in clear English, the cultural context embedded in case studies and examples may not resonate with non-Dutch or non-Western students. Effective developers mitigate this by using globally relevant case studies alongside local Dutch contexts.</w:t>
      </w:r>
    </w:p>
    <w:bookmarkEnd w:id="27"/>
    <w:bookmarkStart w:id="28" w:name="the-role-of-stakeholders"/>
    <w:p>
      <w:pPr>
        <w:pStyle w:val="Heading2"/>
      </w:pPr>
      <w:r>
        <w:t xml:space="preserve">The Role of Stakeholders</w:t>
      </w:r>
    </w:p>
    <w:p>
      <w:pPr>
        <w:pStyle w:val="FirstParagraph"/>
      </w:pPr>
      <w:r>
        <w:t xml:space="preserve">In Amsterdam, curriculum development is highly collaborative. It involves input from:</w:t>
      </w:r>
    </w:p>
    <w:p>
      <w:pPr>
        <w:numPr>
          <w:ilvl w:val="0"/>
          <w:numId w:val="1003"/>
        </w:numPr>
        <w:pStyle w:val="Compact"/>
      </w:pPr>
      <w:r>
        <w:t xml:space="preserve">Educational Specialists: To ensure pedagogical soundness.</w:t>
      </w:r>
    </w:p>
    <w:p>
      <w:pPr>
        <w:numPr>
          <w:ilvl w:val="0"/>
          <w:numId w:val="1003"/>
        </w:numPr>
        <w:pStyle w:val="Compact"/>
      </w:pPr>
      <w:r>
        <w:t xml:space="preserve">Industry Partners: Especially important in HBO (University of Applied Sciences) programs where internships and work placements are integral.</w:t>
      </w:r>
    </w:p>
    <w:p>
      <w:pPr>
        <w:numPr>
          <w:ilvl w:val="0"/>
          <w:numId w:val="1003"/>
        </w:numPr>
        <w:pStyle w:val="Compact"/>
      </w:pPr>
      <w:r>
        <w:t xml:space="preserve">Students: Active participation in curriculum committees is becoming standard practice, reflecting the democratic values inherent in Dutch education.</w:t>
      </w:r>
    </w:p>
    <w:bookmarkEnd w:id="28"/>
    <w:bookmarkStart w:id="29" w:name="challenges-solutions"/>
    <w:p>
      <w:pPr>
        <w:pStyle w:val="Heading2"/>
      </w:pPr>
      <w:r>
        <w:t xml:space="preserve">Challenges &amp; Solutions</w:t>
      </w:r>
    </w:p>
    <w:p>
      <w:pPr>
        <w:pStyle w:val="FirstParagraph"/>
      </w:pPr>
      <w:r>
        <w:t xml:space="preserve">Challenge 1: Standardization vs. Innovation</w:t>
      </w:r>
    </w:p>
    <w:p>
      <w:pPr>
        <w:pStyle w:val="BodyText"/>
      </w:pPr>
      <w:r>
        <w:t xml:space="preserve">Dutch regulations provide a framework for credit points (ECTS) and learning outcomes, which can sometimes stifle innovative teaching methods.</w:t>
      </w:r>
    </w:p>
    <w:p>
      <w:pPr>
        <w:pStyle w:val="BodyText"/>
      </w:pPr>
      <w:r>
        <w:rPr>
          <w:iCs/>
          <w:i/>
        </w:rPr>
        <w:t xml:space="preserve">Solution: Developers are increasingly using "modular" curricula where core requirements are fixed, but elective modules allow for experimental pedagogies.</w:t>
      </w:r>
    </w:p>
    <w:p>
      <w:pPr>
        <w:pStyle w:val="BodyText"/>
      </w:pPr>
      <w:r>
        <w:t xml:space="preserve">Challenge 2: Rapid Technological Change</w:t>
      </w:r>
    </w:p>
    <w:p>
      <w:pPr>
        <w:pStyle w:val="BodyText"/>
      </w:pPr>
      <w:r>
        <w:t xml:space="preserve">The pace of tech evolution in Amsterdam often outstrips the curriculum approval process.</w:t>
      </w:r>
    </w:p>
    <w:p>
      <w:pPr>
        <w:pStyle w:val="BodyText"/>
      </w:pPr>
      <w:r>
        <w:rPr>
          <w:iCs/>
          <w:i/>
        </w:rPr>
        <w:t xml:space="preserve">Solution: Implementing "living syllabi" that are updated annually or bi-annually rather than fixed multi-year cycles.</w:t>
      </w:r>
    </w:p>
    <w:bookmarkEnd w:id="29"/>
    <w:bookmarkStart w:id="30" w:name="case-study-uva-interdisciplinary-minor"/>
    <w:p>
      <w:pPr>
        <w:pStyle w:val="Heading2"/>
      </w:pPr>
      <w:r>
        <w:t xml:space="preserve">Case Study: UvA Interdisciplinary Minor</w:t>
      </w:r>
    </w:p>
    <w:p>
      <w:pPr>
        <w:pStyle w:val="FirstParagraph"/>
      </w:pPr>
      <w:r>
        <w:t xml:space="preserve">A recent initiative in Netherlands Amsterdam involved developing a minor on "Sustainable Urban Development." The curriculum developer had to integrate:</w:t>
      </w:r>
    </w:p>
    <w:p>
      <w:pPr>
        <w:numPr>
          <w:ilvl w:val="0"/>
          <w:numId w:val="1004"/>
        </w:numPr>
        <w:pStyle w:val="Compact"/>
      </w:pPr>
      <w:r>
        <w:t xml:space="preserve">Social sciences perspectives (sociology, law).</w:t>
      </w:r>
    </w:p>
    <w:p>
      <w:pPr>
        <w:numPr>
          <w:ilvl w:val="0"/>
          <w:numId w:val="1004"/>
        </w:numPr>
        <w:pStyle w:val="Compact"/>
      </w:pPr>
      <w:r>
        <w:t xml:space="preserve">Technical engineering concepts.</w:t>
      </w:r>
    </w:p>
    <w:p>
      <w:pPr>
        <w:numPr>
          <w:ilvl w:val="0"/>
          <w:numId w:val="1004"/>
        </w:numPr>
        <w:pStyle w:val="Compact"/>
      </w:pPr>
      <w:r>
        <w:t xml:space="preserve">Economic sustainability models.</w:t>
      </w:r>
    </w:p>
    <w:p>
      <w:pPr>
        <w:pStyle w:val="FirstParagraph"/>
      </w:pPr>
      <w:r>
        <w:t xml:space="preserve">This cross-disciplinary approach required intense coordination between departments, highlighting the coordinator role of the modern curriculum developer.</w:t>
      </w:r>
    </w:p>
    <w:bookmarkEnd w:id="30"/>
    <w:bookmarkStart w:id="31" w:name="conclusion"/>
    <w:p>
      <w:pPr>
        <w:pStyle w:val="Heading2"/>
      </w:pPr>
      <w:r>
        <w:t xml:space="preserve">Conclusion</w:t>
      </w:r>
    </w:p>
    <w:p>
      <w:pPr>
        <w:pStyle w:val="FirstParagraph"/>
      </w:pPr>
      <w:r>
        <w:t xml:space="preserve">The Curriculum Developer in Netherlands Amsterdam is a pivotal figure in maintaining the global competitiveness and social relevance of Dutch education. By balancing regulatory compliance with innovative, inclusive design principles, these professionals ensure that graduates are not only academically proficient but also culturally aware and digitally skilled.</w:t>
      </w:r>
    </w:p>
    <w:p>
      <w:pPr>
        <w:pStyle w:val="BodyText"/>
      </w:pPr>
      <w:r>
        <w:t xml:space="preserve">Future research should focus on the long-term impact of these adaptive curricula on graduate employability in the international job market.</w:t>
      </w:r>
    </w:p>
    <w:bookmarkEnd w:id="31"/>
    <w:bookmarkStart w:id="32" w:name="references"/>
    <w:p>
      <w:pPr>
        <w:pStyle w:val="Heading2"/>
      </w:pPr>
      <w:r>
        <w:t xml:space="preserve">References</w:t>
      </w:r>
    </w:p>
    <w:p>
      <w:pPr>
        <w:numPr>
          <w:ilvl w:val="0"/>
          <w:numId w:val="1005"/>
        </w:numPr>
        <w:pStyle w:val="Compact"/>
      </w:pPr>
      <w:r>
        <w:t xml:space="preserve">Dutch-Flemish Accreditation Organisation (NVAO). (2023). Quality Framework for Higher Education.</w:t>
      </w:r>
    </w:p>
    <w:p>
      <w:pPr>
        <w:numPr>
          <w:ilvl w:val="0"/>
          <w:numId w:val="1005"/>
        </w:numPr>
        <w:pStyle w:val="Compact"/>
      </w:pPr>
      <w:r>
        <w:t xml:space="preserve">Hattie, J. (2017). Visible Learning: A Synthesis of Over 800 Meta-Analyses Relating to Achievement. Routledge.</w:t>
      </w:r>
    </w:p>
    <w:p>
      <w:pPr>
        <w:numPr>
          <w:ilvl w:val="0"/>
          <w:numId w:val="1005"/>
        </w:numPr>
        <w:pStyle w:val="Compact"/>
      </w:pPr>
      <w:r>
        <w:t xml:space="preserve">University of Amsterdam Strategic Plan 2021-2035.</w:t>
      </w:r>
    </w:p>
    <w:p>
      <w:pPr>
        <w:numPr>
          <w:ilvl w:val="0"/>
          <w:numId w:val="1005"/>
        </w:numPr>
        <w:pStyle w:val="Compact"/>
      </w:pPr>
      <w:r>
        <w:t xml:space="preserve">Ministry of Education, Culture and Science Netherlands. (2024). Standards for Higher Education Curricula.</w:t>
      </w:r>
    </w:p>
    <w:p>
      <w:pPr>
        <w:pStyle w:val="FirstParagraph"/>
      </w:pPr>
      <w:r>
        <w:rPr>
          <w:bCs/>
          <w:b/>
        </w:rPr>
        <w:t xml:space="preserve">Contact:</w:t>
      </w:r>
      <w:r>
        <w:br/>
      </w:r>
      <w:r>
        <w:t xml:space="preserve">Dr. A.J. van der Berg</w:t>
      </w:r>
      <w:r>
        <w:br/>
      </w:r>
      <w:r>
        <w:t xml:space="preserve">a.j.vandenberg@uva.nl</w:t>
      </w:r>
      <w:r>
        <w:br/>
      </w:r>
      <w:r>
        <w:t xml:space="preserve">Amsterdam, Netherlands</w:t>
      </w:r>
    </w:p>
    <w:p>
      <w:pPr>
        <w:pStyle w:val="BodyText"/>
      </w:pPr>
      <w:r>
        <w:t xml:space="preserve">© 2024 Academic Poster Presentation Series | Research conducted in Netherlands Amsterdam | Curriculum Development Studies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Curriculum Development in the Netherlands</dc:title>
  <dc:creator/>
  <dc:language>en</dc:language>
  <cp:keywords/>
  <dcterms:created xsi:type="dcterms:W3CDTF">2026-07-29T08:27:40Z</dcterms:created>
  <dcterms:modified xsi:type="dcterms:W3CDTF">2026-07-29T08:27:40Z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