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f8291b46e572374895f898a5cdc15dc3087f85"/>
    <w:p>
      <w:pPr>
        <w:pStyle w:val="Heading1"/>
      </w:pPr>
      <w:r>
        <w:t xml:space="preserve">Bridging Tradition and Innovation: The Evolving Role of the Curriculum Developer in New Zealand Auckland</w:t>
      </w:r>
    </w:p>
    <w:p>
      <w:pPr>
        <w:pStyle w:val="FirstParagraph"/>
      </w:pPr>
      <w:r>
        <w:rPr>
          <w:bCs/>
          <w:b/>
        </w:rPr>
        <w:t xml:space="preserve">Presentation Author:</w:t>
      </w:r>
      <w:r>
        <w:t xml:space="preserve"> </w:t>
      </w:r>
      <w:r>
        <w:t xml:space="preserve">[Your Name/Institution]</w:t>
      </w:r>
    </w:p>
    <w:p>
      <w:pPr>
        <w:pStyle w:val="BodyText"/>
      </w:pPr>
      <w:r>
        <w:rPr>
          <w:bCs/>
          <w:b/>
        </w:rPr>
        <w:t xml:space="preserve">Affiliation:</w:t>
      </w:r>
      <w:r>
        <w:t xml:space="preserve"> </w:t>
      </w:r>
      <w:r>
        <w:t xml:space="preserve">Department of Educational Studies, University of Auckland</w:t>
      </w:r>
    </w:p>
    <w:p>
      <w:pPr>
        <w:pStyle w:val="BodyText"/>
      </w:pPr>
      <w:r>
        <w:rPr>
          <w:bCs/>
          <w:b/>
        </w:rPr>
        <w:t xml:space="preserve">Date:</w:t>
      </w:r>
      <w:r>
        <w:t xml:space="preserve"> </w:t>
      </w:r>
      <w:r>
        <w:t xml:space="preserve">October 2023</w:t>
      </w:r>
    </w:p>
    <w:bookmarkStart w:id="20" w:name="introduction-and-contextual-framework"/>
    <w:p>
      <w:pPr>
        <w:pStyle w:val="Heading2"/>
      </w:pPr>
      <w:r>
        <w:t xml:space="preserve">1. Introduction and Contextual Framework</w:t>
      </w:r>
    </w:p>
    <w:p>
      <w:pPr>
        <w:pStyle w:val="FirstParagraph"/>
      </w:pPr>
      <w:r>
        <w:t xml:space="preserve">The landscape of education in New Zealand is unique, characterized by a strong commitment to biculturalism and indigenous knowledge systems. In the heart of this educational ecosystem lies Auckland, the nation's largest city and a hub for diverse cultural demographics. This</w:t>
      </w:r>
      <w:r>
        <w:t xml:space="preserve"> </w:t>
      </w:r>
      <w:r>
        <w:rPr>
          <w:bCs/>
          <w:b/>
        </w:rPr>
        <w:t xml:space="preserve">Poster Presentation academic</w:t>
      </w:r>
      <w:r>
        <w:t xml:space="preserve"> </w:t>
      </w:r>
      <w:r>
        <w:t xml:space="preserve">document explores the critical role of the</w:t>
      </w:r>
      <w:r>
        <w:t xml:space="preserve"> </w:t>
      </w:r>
      <w:r>
        <w:rPr>
          <w:bCs/>
          <w:b/>
        </w:rPr>
        <w:t xml:space="preserve">Curriculum Developer</w:t>
      </w:r>
      <w:r>
        <w:t xml:space="preserve"> </w:t>
      </w:r>
      <w:r>
        <w:t xml:space="preserve">within this specific context. The primary objective is to analyze how curriculum frameworks are crafted to meet local needs while adhering to national standards, specifically focusing on the integration of Te Ao Māori (the Māori world view) and contemporary pedagogical strategies.</w:t>
      </w:r>
    </w:p>
    <w:p>
      <w:pPr>
        <w:pStyle w:val="BodyText"/>
      </w:pPr>
      <w:r>
        <w:t xml:space="preserve">Auckland serves as a microcosm of New Zealand's demographic diversity. With a significant Pacific Island population, large Asian communities, and established Pākehā (New Zealand European) structures, the educational requirements are complex. The</w:t>
      </w:r>
      <w:r>
        <w:t xml:space="preserve"> </w:t>
      </w:r>
      <w:r>
        <w:rPr>
          <w:bCs/>
          <w:b/>
        </w:rPr>
        <w:t xml:space="preserve">Curriculum Developer</w:t>
      </w:r>
      <w:r>
        <w:t xml:space="preserve"> </w:t>
      </w:r>
      <w:r>
        <w:t xml:space="preserve">in</w:t>
      </w:r>
      <w:r>
        <w:t xml:space="preserve"> </w:t>
      </w:r>
      <w:r>
        <w:rPr>
          <w:bCs/>
          <w:b/>
        </w:rPr>
        <w:t xml:space="preserve">New Zealand Auckland</w:t>
      </w:r>
      <w:r>
        <w:t xml:space="preserve"> </w:t>
      </w:r>
      <w:r>
        <w:t xml:space="preserve">faces the challenge of creating inclusive learning pathways that respect cultural identities while ensuring academic excellence. This presentation outlines the methodological approaches used to navigate these complexities.</w:t>
      </w:r>
    </w:p>
    <w:bookmarkEnd w:id="20"/>
    <w:bookmarkStart w:id="21" w:name="X903d9ff315f73917433dcaca314f3763fda12e2"/>
    <w:p>
      <w:pPr>
        <w:pStyle w:val="Heading2"/>
      </w:pPr>
      <w:r>
        <w:t xml:space="preserve">2. Theoretical Underpinnings: Te Tiriti o Waitangi and Curriculum Design</w:t>
      </w:r>
    </w:p>
    <w:p>
      <w:pPr>
        <w:pStyle w:val="FirstParagraph"/>
      </w:pPr>
      <w:r>
        <w:t xml:space="preserve">A fundamental aspect of curriculum development in New Zealand is the Treaty of Waitangi (Te Tiriti). For any</w:t>
      </w:r>
      <w:r>
        <w:t xml:space="preserve"> </w:t>
      </w:r>
      <w:r>
        <w:rPr>
          <w:bCs/>
          <w:b/>
        </w:rPr>
        <w:t xml:space="preserve">Curriculum Developer</w:t>
      </w:r>
      <w:r>
        <w:t xml:space="preserve">, understanding the principles of Partnership, Participation, and Protection is not optional; it is a statutory requirement. In</w:t>
      </w:r>
      <w:r>
        <w:t xml:space="preserve"> </w:t>
      </w:r>
      <w:r>
        <w:rPr>
          <w:bCs/>
          <w:b/>
        </w:rPr>
        <w:t xml:space="preserve">New Zealand Auckland</w:t>
      </w:r>
      <w:r>
        <w:t xml:space="preserve">, this translates to ensuring that Māori learners achieve educational success as Māori (Ka Hikitia strategy). The curriculum must actively promote te reo Māori (the language) and tikanga (customs).</w:t>
      </w:r>
    </w:p>
    <w:p>
      <w:pPr>
        <w:pStyle w:val="BodyText"/>
      </w:pPr>
      <w:r>
        <w:t xml:space="preserve">This section of the poster highlights how academic research informs the practical application of Treaty principles. We examine case studies from Auckland schools where curriculum developers have successfully integrated indigenous epistemologies into mainstream science and mathematics curricula. This approach moves beyond tokenism, embedding cultural relevance into the core competencies such as thinking, using language, symbols and texts, managing self, relating to others, and participating and contributing.</w:t>
      </w:r>
    </w:p>
    <w:bookmarkEnd w:id="21"/>
    <w:bookmarkStart w:id="22" w:name="Xcccab8bc068fa51ccf5204d7cf1b8ca57b04288"/>
    <w:p>
      <w:pPr>
        <w:pStyle w:val="Heading2"/>
      </w:pPr>
      <w:r>
        <w:t xml:space="preserve">3. Methodology: Collaborative Design Processes</w:t>
      </w:r>
    </w:p>
    <w:p>
      <w:pPr>
        <w:pStyle w:val="FirstParagraph"/>
      </w:pPr>
      <w:r>
        <w:t xml:space="preserve">The development of modern curricula is rarely a top-down process. In</w:t>
      </w:r>
      <w:r>
        <w:t xml:space="preserve"> </w:t>
      </w:r>
      <w:r>
        <w:rPr>
          <w:bCs/>
          <w:b/>
        </w:rPr>
        <w:t xml:space="preserve">New Zealand Auckland</w:t>
      </w:r>
      <w:r>
        <w:t xml:space="preserve">, effective curriculum development relies on collaborative models involving kaiako (teachers), whānau (families), iwi (tribes), and community leaders. The methodology employed in this study utilizes participatory action research, where the</w:t>
      </w:r>
      <w:r>
        <w:t xml:space="preserve"> </w:t>
      </w:r>
      <w:r>
        <w:rPr>
          <w:bCs/>
          <w:b/>
        </w:rPr>
        <w:t xml:space="preserve">Curriculum Developer</w:t>
      </w:r>
      <w:r>
        <w:t xml:space="preserve"> </w:t>
      </w:r>
      <w:r>
        <w:t xml:space="preserve">acts as a facilitator rather than just an author.</w:t>
      </w:r>
    </w:p>
    <w:p>
      <w:pPr>
        <w:numPr>
          <w:ilvl w:val="0"/>
          <w:numId w:val="1001"/>
        </w:numPr>
        <w:pStyle w:val="Compact"/>
      </w:pPr>
      <w:r>
        <w:rPr>
          <w:bCs/>
          <w:b/>
        </w:rPr>
        <w:t xml:space="preserve">Data Collection:</w:t>
      </w:r>
    </w:p>
    <w:p>
      <w:pPr>
        <w:numPr>
          <w:ilvl w:val="0"/>
          <w:numId w:val="1001"/>
        </w:numPr>
        <w:pStyle w:val="Compact"/>
      </w:pPr>
      <w:r>
        <w:rPr>
          <w:bCs/>
          <w:b/>
        </w:rPr>
        <w:t xml:space="preserve">Pilot Programs:</w:t>
      </w:r>
      <w:r>
        <w:t xml:space="preserve"> </w:t>
      </w:r>
      <w:r>
        <w:t xml:space="preserve">Curricula drafts were tested in diverse Auckland settings, ranging from urban decile 1 schools to suburban decile 8 institutions.</w:t>
      </w:r>
    </w:p>
    <w:p>
      <w:pPr>
        <w:numPr>
          <w:ilvl w:val="0"/>
          <w:numId w:val="1001"/>
        </w:numPr>
        <w:pStyle w:val="Compact"/>
      </w:pPr>
      <w:r>
        <w:rPr>
          <w:bCs/>
          <w:b/>
        </w:rPr>
        <w:t xml:space="preserve">Feedback Loops:</w:t>
      </w:r>
      <w:r>
        <w:t xml:space="preserve"> </w:t>
      </w:r>
      <w:r>
        <w:t xml:space="preserve">Continuous refinement based on student engagement metrics and teacher feedback ensures that the curriculum remains dynamic and responsive.</w:t>
      </w:r>
    </w:p>
    <w:p>
      <w:pPr>
        <w:pStyle w:val="FirstParagraph"/>
      </w:pPr>
      <w:r>
        <w:t xml:space="preserve">This iterative process ensures that the final product is not only academically rigorous but also culturally safe and relevant. The role of the</w:t>
      </w:r>
      <w:r>
        <w:t xml:space="preserve"> </w:t>
      </w:r>
      <w:r>
        <w:rPr>
          <w:bCs/>
          <w:b/>
        </w:rPr>
        <w:t xml:space="preserve">Curriculum Developer</w:t>
      </w:r>
      <w:r>
        <w:t xml:space="preserve"> </w:t>
      </w:r>
      <w:r>
        <w:t xml:space="preserve">here is to synthesize these diverse voices into a coherent framework that aligns with the New Zealand Curriculum (NZC) and Te Marautanga o Aotearoa.</w:t>
      </w:r>
    </w:p>
    <w:bookmarkEnd w:id="22"/>
    <w:bookmarkStart w:id="23" w:name="key-challenges-in-the-auckland-context"/>
    <w:p>
      <w:pPr>
        <w:pStyle w:val="Heading2"/>
      </w:pPr>
      <w:r>
        <w:t xml:space="preserve">4. Key Challenges in the Auckland Context</w:t>
      </w:r>
    </w:p>
    <w:p>
      <w:pPr>
        <w:pStyle w:val="FirstParagraph"/>
      </w:pPr>
      <w:r>
        <w:t xml:space="preserve">Auckland presents specific challenges for curriculum developers. One major issue is the high degree of mobility within certain communities, which requires curricula to be flexible and modular. Additionally, the rapid technological advancement in Auckland's tech sector demands that STEM (Science, Technology, Engineering, and Mathematics) components of the curriculum are updated frequently.</w:t>
      </w:r>
    </w:p>
    <w:p>
      <w:pPr>
        <w:pStyle w:val="BodyText"/>
      </w:pPr>
      <w:r>
        <w:t xml:space="preserve">The</w:t>
      </w:r>
      <w:r>
        <w:t xml:space="preserve"> </w:t>
      </w:r>
      <w:r>
        <w:rPr>
          <w:bCs/>
          <w:b/>
        </w:rPr>
        <w:t xml:space="preserve">Curriculum Developer</w:t>
      </w:r>
      <w:r>
        <w:t xml:space="preserve"> </w:t>
      </w:r>
      <w:r>
        <w:t xml:space="preserve">must balance these demands with the need for stability. Too much change can lead to teacher fatigue and implementation gaps. However, too little change risks irrelevance. This tension is particularly acute in a global city like Auckland, where economic pressures on education are high. The poster highlights strategies used to mitigate these risks, such as phased rollouts and professional development packages tailored to the local context.</w:t>
      </w:r>
    </w:p>
    <w:bookmarkEnd w:id="23"/>
    <w:bookmarkStart w:id="24" w:name="Xb1ae1b67f64785c9d4a09aa572ece3a96dd2097"/>
    <w:p>
      <w:pPr>
        <w:pStyle w:val="Heading2"/>
      </w:pPr>
      <w:r>
        <w:t xml:space="preserve">5. Integration of Technology and Digital Literacy</w:t>
      </w:r>
    </w:p>
    <w:p>
      <w:pPr>
        <w:pStyle w:val="FirstParagraph"/>
      </w:pPr>
      <w:r>
        <w:t xml:space="preserve">In recent years, digital literacy has become a core competency in New Zealand education. For the</w:t>
      </w:r>
      <w:r>
        <w:t xml:space="preserve"> </w:t>
      </w:r>
      <w:r>
        <w:rPr>
          <w:bCs/>
          <w:b/>
        </w:rPr>
        <w:t xml:space="preserve">Curriculum Developer</w:t>
      </w:r>
      <w:r>
        <w:t xml:space="preserve">, this means embedding digital citizenship and computational thinking across all learning areas. In</w:t>
      </w:r>
      <w:r>
        <w:t xml:space="preserve"> </w:t>
      </w:r>
      <w:r>
        <w:rPr>
          <w:bCs/>
          <w:b/>
        </w:rPr>
        <w:t xml:space="preserve">New Zealand Auckland</w:t>
      </w:r>
      <w:r>
        <w:t xml:space="preserve">, where internet access is generally high but usage patterns vary, the curriculum must address equity of access.</w:t>
      </w:r>
    </w:p>
    <w:p>
      <w:pPr>
        <w:pStyle w:val="BodyText"/>
      </w:pPr>
      <w:r>
        <w:t xml:space="preserve">This presentation showcases examples of how curriculum developers are working with industry partners in Auckland to create authentic learning experiences. Students are not just learning about technology; they are using it to solve local community problems. This project-based approach aligns with the NZC's emphasis on creating confident, connected, and actively involved lifelong learners.</w:t>
      </w:r>
    </w:p>
    <w:bookmarkEnd w:id="24"/>
    <w:bookmarkStart w:id="25" w:name="assessment-and-evaluation-strategies"/>
    <w:p>
      <w:pPr>
        <w:pStyle w:val="Heading2"/>
      </w:pPr>
      <w:r>
        <w:t xml:space="preserve">6. Assessment and Evaluation Strategies</w:t>
      </w:r>
    </w:p>
    <w:p>
      <w:pPr>
        <w:pStyle w:val="FirstParagraph"/>
      </w:pPr>
      <w:r>
        <w:t xml:space="preserve">A robust curriculum must include robust assessment methods. In the Auckland context, there is a growing movement away from standardized testing toward formative assessment and portfolio-based evaluation. The</w:t>
      </w:r>
      <w:r>
        <w:t xml:space="preserve"> </w:t>
      </w:r>
      <w:r>
        <w:rPr>
          <w:bCs/>
          <w:b/>
        </w:rPr>
        <w:t xml:space="preserve">Curriculum Developer</w:t>
      </w:r>
      <w:r>
        <w:t xml:space="preserve"> </w:t>
      </w:r>
      <w:r>
        <w:t xml:space="preserve">plays a crucial role in designing these alternative assessment tools.</w:t>
      </w:r>
    </w:p>
    <w:p>
      <w:pPr>
        <w:pStyle w:val="BodyText"/>
      </w:pPr>
      <w:r>
        <w:t xml:space="preserve">We discuss the implementation of internal assessments that allow for cultural expression in how students demonstrate their learning. For example, a student might demonstrate understanding of environmental science through a traditional Māori mapping exercise (moko) or a community engagement project. This flexibility is essential for capturing the diverse talents present in Auckland schools.</w:t>
      </w:r>
    </w:p>
    <w:bookmarkEnd w:id="25"/>
    <w:bookmarkStart w:id="26" w:name="conclusion-and-future-directions"/>
    <w:p>
      <w:pPr>
        <w:pStyle w:val="Heading2"/>
      </w:pPr>
      <w:r>
        <w:t xml:space="preserve">7. Conclusion and Future Directions</w:t>
      </w:r>
    </w:p>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New Zealand Auckland</w:t>
      </w:r>
      <w:r>
        <w:t xml:space="preserve"> </w:t>
      </w:r>
      <w:r>
        <w:t xml:space="preserve">is more critical than ever. It requires a nuanced understanding of cultural dynamics, educational theory, and local community needs. As evidenced in this poster presentation, successful curriculum design is inclusive, collaborative, and adaptive.</w:t>
      </w:r>
    </w:p>
    <w:p>
      <w:pPr>
        <w:pStyle w:val="BodyText"/>
      </w:pPr>
      <w:r>
        <w:t xml:space="preserve">Future directions involve deeper integration of Pacific education models alongside Māori frameworks to reflect Auckland's full demographic spectrum. There is also a need for greater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2026-07-29T15:09:17Z</dcterms:created>
  <dcterms:modified xsi:type="dcterms:W3CDTF">2026-07-29T15:09:17Z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