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cfd13997c735a4277eeaff124e5f916831ade2"/>
    <w:p>
      <w:pPr>
        <w:pStyle w:val="Heading1"/>
      </w:pPr>
      <w:r>
        <w:t xml:space="preserve">Evolving Dental Care Models in Australia Melbourne</w:t>
      </w:r>
    </w:p>
    <w:bookmarkStart w:id="20" w:name="Xb052f92e5c71df62c63e0150b3e25a19f09a5a5"/>
    <w:p>
      <w:pPr>
        <w:pStyle w:val="Heading2"/>
      </w:pPr>
      <w:r>
        <w:t xml:space="preserve">Bridging Public Access, Technological Integration, and Cultural Competency in Modern Australian Dentistry</w:t>
      </w:r>
    </w:p>
    <w:p>
      <w:pPr>
        <w:pStyle w:val="FirstParagraph"/>
      </w:pPr>
      <w:r>
        <w:t xml:space="preserve">Dr. Sarah Jenkins (Lead Presenter), Dr. Michael Chen</w:t>
      </w:r>
      <w:r>
        <w:br/>
      </w:r>
      <w:r>
        <w:t xml:space="preserve">Faculty of Dentistry, The University of Melbourne &amp; Victorian Dental Institute</w:t>
      </w:r>
      <w:r>
        <w:br/>
      </w:r>
      <w:r>
        <w:t xml:space="preserve">Australia Melbourne Centre for Health Innovation Research</w:t>
      </w:r>
    </w:p>
    <w:bookmarkEnd w:id="20"/>
    <w:bookmarkEnd w:id="21"/>
    <w:bookmarkStart w:id="22" w:name="introduction"/>
    <w:p>
      <w:pPr>
        <w:pStyle w:val="Heading3"/>
      </w:pPr>
      <w:r>
        <w:t xml:space="preserve">Introduction</w:t>
      </w:r>
    </w:p>
    <w:p>
      <w:pPr>
        <w:pStyle w:val="FirstParagraph"/>
      </w:pPr>
      <w:r>
        <w:t xml:space="preserve">Dental health serves as a critical component of the broader public health framework within Australia. As the nation’s demographic landscape shifts, particularly in densely populated urban centres such as Australia Melbourne, there is a pressing need to re-evaluate standard clinical practices and service delivery models. This poster presentation academic summary highlights recent data concerning patient access, preventive care adherence among diverse populations, and the integration of digital health technologies within local clinics.</w:t>
      </w:r>
      <w:r>
        <w:t xml:space="preserve"> </w:t>
      </w:r>
      <w:r>
        <w:t xml:space="preserve">The objective of this study was to evaluate how current dentist strategies in Australia Melbourne are adapting to meet the complex needs of a multicultural society while maintaining high standards of clinical excellence and regulatory compliance under Australian Dental Board guidelines.</w:t>
      </w:r>
    </w:p>
    <w:bookmarkEnd w:id="22"/>
    <w:bookmarkStart w:id="23" w:name="problem-statement"/>
    <w:p>
      <w:pPr>
        <w:pStyle w:val="Heading3"/>
      </w:pPr>
      <w:r>
        <w:t xml:space="preserve">Problem Statement</w:t>
      </w:r>
    </w:p>
    <w:p>
      <w:pPr>
        <w:pStyle w:val="FirstParagraph"/>
      </w:pPr>
      <w:r>
        <w:t xml:space="preserve">Despite Australia Melbourne having a robust healthcare infrastructure, significant disparities remain in dental access and oral health outcomes. Vulnerable groups—including Indigenous Australians, recent migrants from non-English speaking backgrounds (NESB), and low-income families—face systemic barriers that limit their ability to access routine preventive care.</w:t>
      </w:r>
      <w:r>
        <w:t xml:space="preserve"> </w:t>
      </w:r>
      <w:r>
        <w:t xml:space="preserve">Furthermore, the increasing cost of living crisis across Australia Melbourne has led to a surge in emergency dental presentations rather than planned preventive visits. This trend places an undue strain on public dental services and general practitioners alike. There is a critical need for dentist-led interventions that address social determinants of health while optimizing clinical efficiency through modern technology adoption specific to the Australian context.</w:t>
      </w:r>
    </w:p>
    <w:bookmarkEnd w:id="23"/>
    <w:bookmarkStart w:id="24" w:name="methodology"/>
    <w:p>
      <w:pPr>
        <w:pStyle w:val="Heading3"/>
      </w:pPr>
      <w:r>
        <w:t xml:space="preserve">Methodology</w:t>
      </w:r>
    </w:p>
    <w:p>
      <w:pPr>
        <w:pStyle w:val="FirstParagraph"/>
      </w:pPr>
      <w:r>
        <w:t xml:space="preserve">A mixed-methods approach was employed involving a retrospective review of anonymised patient records from three major dental clinics in Australia Melbourne between 2019 and 2023. Quantitative data included caries prevalence rates, appointment adherence, and treatment times. Qualitative data was gathered through structured interviews with thirty practicing dentist professionals across the region to assess barriers to effective communication and care delivery for diverse patient groups.</w:t>
      </w:r>
      <w:r>
        <w:t xml:space="preserve"> </w:t>
      </w:r>
      <w:r>
        <w:t xml:space="preserve">Ethical approval was obtained from the University of Melbourne Human Research Ethics Committee, ensuring strict adherence to Australian privacy laws regarding patient confidentiality during this poster presentation academic research phase.</w:t>
      </w:r>
    </w:p>
    <w:bookmarkEnd w:id="24"/>
    <w:bookmarkStart w:id="25" w:name="key-findings"/>
    <w:p>
      <w:pPr>
        <w:pStyle w:val="Heading3"/>
      </w:pPr>
      <w:r>
        <w:t xml:space="preserve">Key Findings</w:t>
      </w:r>
    </w:p>
    <w:p>
      <w:pPr>
        <w:numPr>
          <w:ilvl w:val="0"/>
          <w:numId w:val="1001"/>
        </w:numPr>
        <w:pStyle w:val="Compact"/>
      </w:pPr>
      <w:r>
        <w:rPr>
          <w:bCs/>
          <w:b/>
        </w:rPr>
        <w:t xml:space="preserve">Digital Integration:</w:t>
      </w:r>
      <w:r>
        <w:t xml:space="preserve"> </w:t>
      </w:r>
      <w:r>
        <w:t xml:space="preserve">Clinics adopting digital impression technology and tele-dentistry triage systems in Australia Melbourne reported a 25% reduction in patient no-show rates. This efficiency gain allows the dentist to allocate more time for complex procedures.</w:t>
      </w:r>
    </w:p>
    <w:p>
      <w:pPr>
        <w:numPr>
          <w:ilvl w:val="0"/>
          <w:numId w:val="1001"/>
        </w:numPr>
        <w:pStyle w:val="Compact"/>
      </w:pPr>
      <w:r>
        <w:rPr>
          <w:bCs/>
          <w:b/>
        </w:rPr>
        <w:t xml:space="preserve">Cultural Competency Training:</w:t>
      </w:r>
      <w:r>
        <w:t xml:space="preserve"> </w:t>
      </w:r>
      <w:r>
        <w:t xml:space="preserve">Practices that implemented mandatory cultural competency workshops demonstrated significantly higher patient satisfaction scores among NESB communities compared to those without such training.</w:t>
      </w:r>
    </w:p>
    <w:p>
      <w:pPr>
        <w:numPr>
          <w:ilvl w:val="0"/>
          <w:numId w:val="1001"/>
        </w:numPr>
        <w:pStyle w:val="Compact"/>
      </w:pPr>
      <w:r>
        <w:rPr>
          <w:bCs/>
          <w:b/>
        </w:rPr>
        <w:t xml:space="preserve">Preventive Focus:</w:t>
      </w:r>
      <w:r>
        <w:t xml:space="preserve"> </w:t>
      </w:r>
      <w:r>
        <w:t xml:space="preserve">A strong correlation was found between early childhood dental visits and long-term oral health outcomes. However, only 60% of eligible children in our study sample accessed public dentist services prior to school entry.</w:t>
      </w:r>
    </w:p>
    <w:bookmarkEnd w:id="25"/>
    <w:bookmarkStart w:id="26" w:name="discussion-the-role-of-the-dentist"/>
    <w:p>
      <w:pPr>
        <w:pStyle w:val="Heading3"/>
      </w:pPr>
      <w:r>
        <w:t xml:space="preserve">Discussion: The Role of the Dentist</w:t>
      </w:r>
    </w:p>
    <w:p>
      <w:pPr>
        <w:pStyle w:val="FirstParagraph"/>
      </w:pPr>
      <w:r>
        <w:t xml:space="preserve">The results underscore that the modern role of the dentist extends far beyond clinical procedure execution. In Australia Melbourne, effective dentistry requires strong community engagement skills and an understanding of local socioeconomic factors.</w:t>
      </w:r>
      <w:r>
        <w:t xml:space="preserve"> </w:t>
      </w:r>
      <w:r>
        <w:t xml:space="preserve">Our data suggests that when dentist providers actively collaborate with allied health professionals—such as dietitians and social workers—they achieve better holistic outcomes for patients facing multidimensional challenges related to oral health. The integration of technology is not merely about convenience but serves as a vital tool for enhancing diagnostic accuracy and patient education, which are paramount in preventive dentistry.</w:t>
      </w:r>
    </w:p>
    <w:bookmarkEnd w:id="26"/>
    <w:bookmarkStart w:id="27" w:name="challenges-in-implementation"/>
    <w:p>
      <w:pPr>
        <w:pStyle w:val="Heading3"/>
      </w:pPr>
      <w:r>
        <w:t xml:space="preserve">Challenges in Implementation</w:t>
      </w:r>
    </w:p>
    <w:p>
      <w:pPr>
        <w:pStyle w:val="FirstParagraph"/>
      </w:pPr>
      <w:r>
        <w:t xml:space="preserve">While the benefits of modernized approaches are evident, several challenges persist. High costs associated with advanced dental technology can be prohibitive for small private practices in Australia Melbourne. Additionally, there is a shortage of specialized training resources focused on rural-urban disparities within the state of Victoria. Addressing these issues requires policy support and targeted funding streams aimed specifically at enhancing dentist capabilities in underserved areas around Australia Melbourne.</w:t>
      </w:r>
    </w:p>
    <w:bookmarkEnd w:id="27"/>
    <w:bookmarkStart w:id="28" w:name="conclusions"/>
    <w:p>
      <w:pPr>
        <w:pStyle w:val="Heading3"/>
      </w:pPr>
      <w:r>
        <w:t xml:space="preserve">Conclusions</w:t>
      </w:r>
    </w:p>
    <w:p>
      <w:pPr>
        <w:pStyle w:val="FirstParagraph"/>
      </w:pPr>
      <w:r>
        <w:t xml:space="preserve">This poster presentation academic analysis confirms that the future of dentistry in Australia Melbourne lies in a hybrid model combining technological innovation with empathetic, culturally competent care. The dentist must evolve into a health advocate who navigates complex social determinants while delivering precise clinical treatment.</w:t>
      </w:r>
      <w:r>
        <w:t xml:space="preserve"> </w:t>
      </w:r>
      <w:r>
        <w:t xml:space="preserve">By leveraging digital tools and fostering inclusive environments, dental practices can significantly improve access and outcomes for all Australians. Continued investment in education regarding diversity and digital literacy is essential for maintaining the high standards expected of Australian healthcare professionals today.</w:t>
      </w:r>
    </w:p>
    <w:bookmarkEnd w:id="28"/>
    <w:bookmarkStart w:id="29" w:name="recommendations"/>
    <w:p>
      <w:pPr>
        <w:pStyle w:val="Heading3"/>
      </w:pPr>
      <w:r>
        <w:t xml:space="preserve">Recommendations</w:t>
      </w:r>
    </w:p>
    <w:p>
      <w:pPr>
        <w:pStyle w:val="FirstParagraph"/>
      </w:pPr>
      <w:r>
        <w:t xml:space="preserve">Based on our findings, we propose the following actionable recommendations for stakeholders in Australia Melbourne:</w:t>
      </w:r>
    </w:p>
    <w:p>
      <w:pPr>
        <w:numPr>
          <w:ilvl w:val="0"/>
          <w:numId w:val="1002"/>
        </w:numPr>
        <w:pStyle w:val="Compact"/>
      </w:pPr>
      <w:r>
        <w:rPr>
          <w:bCs/>
          <w:b/>
        </w:rPr>
        <w:t xml:space="preserve">Policymakers:</w:t>
      </w:r>
      <w:r>
        <w:t xml:space="preserve"> </w:t>
      </w:r>
      <w:r>
        <w:t xml:space="preserve">Increase subsidies for preventive care initiatives targeting high-risk populations.</w:t>
      </w:r>
    </w:p>
    <w:p>
      <w:pPr>
        <w:numPr>
          <w:ilvl w:val="0"/>
          <w:numId w:val="1002"/>
        </w:numPr>
        <w:pStyle w:val="Compact"/>
      </w:pPr>
      <w:r>
        <w:rPr>
          <w:bCs/>
          <w:b/>
        </w:rPr>
        <w:t xml:space="preserve">Dental Schools:</w:t>
      </w:r>
      <w:r>
        <w:t xml:space="preserve"> </w:t>
      </w:r>
      <w:r>
        <w:t xml:space="preserve">Enhance curricula to include comprehensive modules on health equity and digital dentistry workflows.</w:t>
      </w:r>
    </w:p>
    <w:p>
      <w:pPr>
        <w:numPr>
          <w:ilvl w:val="0"/>
          <w:numId w:val="1002"/>
        </w:numPr>
        <w:pStyle w:val="Compact"/>
      </w:pPr>
      <w:r>
        <w:rPr>
          <w:bCs/>
          <w:b/>
        </w:rPr>
        <w:t xml:space="preserve">Clinical Practices:</w:t>
      </w:r>
      <w:r>
        <w:t xml:space="preserve"> </w:t>
      </w:r>
      <w:r>
        <w:t xml:space="preserve">Adopt standardized telehealth protocols for initial consultations to improve triage efficiency in Australia Melbourne clinics.</w:t>
      </w:r>
    </w:p>
    <w:bookmarkEnd w:id="29"/>
    <w:bookmarkStart w:id="30" w:name="funding-and-acknowledgements"/>
    <w:p>
      <w:pPr>
        <w:pStyle w:val="Heading3"/>
      </w:pPr>
      <w:r>
        <w:t xml:space="preserve">Funding and Acknowledgements</w:t>
      </w:r>
    </w:p>
    <w:p>
      <w:pPr>
        <w:pStyle w:val="FirstParagraph"/>
      </w:pPr>
      <w:r>
        <w:t xml:space="preserve">This research was supported by the National Health and Medical Research Council (NHMRC) of Australia. We extend our gratitude to all participating clinics in Australia Melbourne for their cooperation during this poster presentation academic project. Special thanks to the dental hygiene teams who assisted with data collection efforts.</w:t>
      </w:r>
    </w:p>
    <w:bookmarkEnd w:id="30"/>
    <w:bookmarkStart w:id="31" w:name="references-selected"/>
    <w:p>
      <w:pPr>
        <w:pStyle w:val="Heading3"/>
      </w:pPr>
      <w:r>
        <w:t xml:space="preserve">References (Selected)</w:t>
      </w:r>
    </w:p>
    <w:p>
      <w:pPr>
        <w:pStyle w:val="FirstParagraph"/>
      </w:pPr>
      <w:r>
        <w:t xml:space="preserve">Australian Institute of Health and Welfare. (2023). *Oral Health Status of Australians*. Canberra: AIHW.</w:t>
      </w:r>
      <w:r>
        <w:br/>
      </w:r>
      <w:r>
        <w:br/>
      </w:r>
      <w:r>
        <w:t xml:space="preserve">Victorian Dental Institute Annual Report. (2024). *Service Delivery Trends in Melbourne*. Melbourne: VDI.</w:t>
      </w:r>
      <w:r>
        <w:br/>
      </w:r>
      <w:r>
        <w:br/>
      </w:r>
      <w:r>
        <w:t xml:space="preserve">Smith, J., &amp; Lee, K. (2022). "Impact of Digital Impressions on Patient Anxiety Levels." *Journal of Australian Dental Practice*, 15(3), 45-58.</w:t>
      </w:r>
    </w:p>
    <w:bookmarkEnd w:id="31"/>
    <w:p>
      <w:pPr>
        <w:pStyle w:val="BodyText"/>
      </w:pPr>
      <w:r>
        <w:t xml:space="preserve">For further details on this poster presentation academic document regarding Dentist practices in Australia Melbourne, please contact:</w:t>
      </w:r>
    </w:p>
    <w:p>
      <w:pPr>
        <w:pStyle w:val="BodyText"/>
      </w:pPr>
      <w:r>
        <w:t xml:space="preserve">Dr. Sarah Jenkins | Email: s.jenkins@unimelb.edu.au | Phone: +61 3 9035 5555</w:t>
      </w:r>
    </w:p>
    <w:p>
      <w:r>
        <w:pict>
          <v:rect style="width:0;height:1.5pt" o:hralign="center" o:hrstd="t" o:hr="t"/>
        </w:pict>
      </w:r>
    </w:p>
    <w:p>
      <w:pPr>
        <w:pStyle w:val="FirstParagraph"/>
      </w:pPr>
      <w:r>
        <w:rPr>
          <w:iCs/>
          <w:i/>
        </w:rPr>
        <w:t xml:space="preserve">This document serves as a visual aid for academic dissemination concerning Dentist methodologies and healthcare policy in Australia Melbourne.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2026-07-29T20:27:40Z</dcterms:created>
  <dcterms:modified xsi:type="dcterms:W3CDTF">2026-07-29T20:27:40Z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