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Periodontal</w:t>
      </w:r>
      <w:r>
        <w:t xml:space="preserve"> </w:t>
      </w:r>
      <w:r>
        <w:t xml:space="preserve">Therapy</w:t>
      </w:r>
      <w:r>
        <w:t xml:space="preserve"> </w:t>
      </w:r>
      <w:r>
        <w:t xml:space="preserve">in</w:t>
      </w:r>
      <w:r>
        <w:t xml:space="preserve"> </w:t>
      </w:r>
      <w:r>
        <w:t xml:space="preserve">the</w:t>
      </w:r>
      <w:r>
        <w:t xml:space="preserve"> </w:t>
      </w:r>
      <w:r>
        <w:t xml:space="preserve">Netherlands</w:t>
      </w:r>
    </w:p>
    <w:bookmarkStart w:id="20" w:name="Xfd7a03e4ceac4438ea7fdb81fc5b3f9e5c2beb5"/>
    <w:p>
      <w:pPr>
        <w:pStyle w:val="Heading1"/>
      </w:pPr>
      <w:r>
        <w:t xml:space="preserve">Evaluating Patient Compliance and Clinical Efficacy of Digital Implant Protocols in the Netherlands Amsterdam</w:t>
      </w:r>
    </w:p>
    <w:p>
      <w:pPr>
        <w:pStyle w:val="FirstParagraph"/>
      </w:pPr>
      <w:r>
        <w:rPr>
          <w:bCs/>
          <w:b/>
        </w:rPr>
        <w:t xml:space="preserve">Presentation Type:</w:t>
      </w:r>
      <w:r>
        <w:t xml:space="preserve"> </w:t>
      </w:r>
      <w:r>
        <w:t xml:space="preserve">Academic Poster Presentation</w:t>
      </w:r>
    </w:p>
    <w:p>
      <w:pPr>
        <w:pStyle w:val="BodyText"/>
      </w:pPr>
      <w:r>
        <w:rPr>
          <w:bCs/>
          <w:b/>
        </w:rPr>
        <w:t xml:space="preserve">Audience:</w:t>
      </w:r>
      <w:r>
        <w:t xml:space="preserve"> </w:t>
      </w:r>
      <w:r>
        <w:t xml:space="preserve">Dentists and Oral Health Researchers in Netherlands Amsterdam</w:t>
      </w:r>
    </w:p>
    <w:bookmarkEnd w:id="20"/>
    <w:bookmarkStart w:id="22" w:name="introduction"/>
    <w:bookmarkStart w:id="21" w:name="background-and-context"/>
    <w:p>
      <w:pPr>
        <w:pStyle w:val="Heading2"/>
      </w:pPr>
      <w:r>
        <w:t xml:space="preserve">1. Background and Context</w:t>
      </w:r>
    </w:p>
    <w:p>
      <w:pPr>
        <w:pStyle w:val="FirstParagraph"/>
      </w:pPr>
      <w:r>
        <w:t xml:space="preserve">The landscape of modern dentistry is undergoing a seismic shift towards digital integration, particularly within the bustling healthcare hub known as Netherlands Amsterdam. This region, home to some of Europe's most advanced medical facilities and a highly educated patient demographic, presents unique challenges and opportunities for practicing professionals. As we transition from analog impressions to intraoral scanning technologies, it becomes imperative to evaluate not only the clinical accuracy but also the workflow efficiency and patient satisfaction associated with these new modalities.</w:t>
      </w:r>
    </w:p>
    <w:p>
      <w:pPr>
        <w:pStyle w:val="BodyText"/>
      </w:pPr>
      <w:r>
        <w:t xml:space="preserve">The objective of this study was to assess how digital workflows impact the overall treatment timeline and long-term success rates for implant dentistry among Dentists operating in Netherlands Amsterdam. By focusing on a cohort of patients treated between 2021 and 2023, we aim to provide actionable insights that can guide policy and practice standards in this competitive market.</w:t>
      </w:r>
    </w:p>
    <w:bookmarkEnd w:id="21"/>
    <w:bookmarkEnd w:id="22"/>
    <w:bookmarkStart w:id="24" w:name="methodology"/>
    <w:p>
      <w:pPr>
        <w:pStyle w:val="Heading2"/>
      </w:pPr>
      <w:r>
        <w:t xml:space="preserve">2. Methodology</w:t>
      </w:r>
    </w:p>
    <w:p>
      <w:pPr>
        <w:pStyle w:val="FirstParagraph"/>
      </w:pPr>
      <w:r>
        <w:t xml:space="preserve">This retrospective cohort study analyzed data from three major dental clinics located centrally in Netherlands Amsterdam. The sample size consisted of 450 patients who received single-tooth implants using either traditional analog impression techniques or full digital workflows.</w:t>
      </w:r>
    </w:p>
    <w:bookmarkStart w:id="23" w:name="data-collection-parameters"/>
    <w:p>
      <w:pPr>
        <w:pStyle w:val="Heading3"/>
      </w:pPr>
      <w:r>
        <w:t xml:space="preserve">Data Collection Parameters:</w:t>
      </w:r>
    </w:p>
    <w:p>
      <w:pPr>
        <w:numPr>
          <w:ilvl w:val="0"/>
          <w:numId w:val="1001"/>
        </w:numPr>
        <w:pStyle w:val="Compact"/>
      </w:pPr>
      <w:r>
        <w:rPr>
          <w:bCs/>
          <w:b/>
        </w:rPr>
        <w:t xml:space="preserve">Clinical Outcomes:</w:t>
      </w:r>
      <w:r>
        <w:t xml:space="preserve"> </w:t>
      </w:r>
      <w:r>
        <w:t xml:space="preserve">Marginal bone loss measured at 12-month and 24-month follow-ups.</w:t>
      </w:r>
    </w:p>
    <w:p>
      <w:pPr>
        <w:numPr>
          <w:ilvl w:val="0"/>
          <w:numId w:val="1001"/>
        </w:numPr>
        <w:pStyle w:val="Compact"/>
      </w:pPr>
      <w:r>
        <w:rPr>
          <w:bCs/>
          <w:b/>
        </w:rPr>
        <w:t xml:space="preserve">Patient Feedback:</w:t>
      </w:r>
      <w:r>
        <w:t xml:space="preserve"> </w:t>
      </w:r>
      <w:r>
        <w:t xml:space="preserve">Surveys assessing anxiety levels, comfort during impression taking, and perceived treatment duration.</w:t>
      </w:r>
    </w:p>
    <w:p>
      <w:pPr>
        <w:numPr>
          <w:ilvl w:val="0"/>
          <w:numId w:val="1001"/>
        </w:numPr>
        <w:pStyle w:val="Compact"/>
      </w:pPr>
      <w:r>
        <w:t xml:space="preserve">Efficiency Metrics:</w:t>
      </w:r>
    </w:p>
    <w:p>
      <w:pPr>
        <w:pStyle w:val="FirstParagraph"/>
      </w:pPr>
      <w:r>
        <w:rPr>
          <w:iCs/>
          <w:i/>
        </w:rPr>
        <w:t xml:space="preserve">Note for Poster Viewers: Data was anonymized to comply with GDPR regulations, a critical standard for any healthcare data analysis within Europe and specifically Netherlands Amsterdam.</w:t>
      </w:r>
    </w:p>
    <w:bookmarkEnd w:id="23"/>
    <w:bookmarkEnd w:id="24"/>
    <w:bookmarkStart w:id="28" w:name="results"/>
    <w:bookmarkStart w:id="27" w:name="key-findings"/>
    <w:p>
      <w:pPr>
        <w:pStyle w:val="Heading2"/>
      </w:pPr>
      <w:r>
        <w:t xml:space="preserve">3. Key Findings</w:t>
      </w:r>
    </w:p>
    <w:p>
      <w:pPr>
        <w:pStyle w:val="FirstParagraph"/>
      </w:pPr>
      <w:r>
        <w:t xml:space="preserve">The statistical analysis revealed a compelling trend favoring digital integration. Patients treated via digital protocols in Netherlands Amsterdam reported a 40% reduction in procedural anxiety compared to the analog group. This is particularly significant given the high expectations for patient comfort among local demographics.</w:t>
      </w:r>
    </w:p>
    <w:bookmarkStart w:id="25" w:name="clinical-accuracy"/>
    <w:p>
      <w:pPr>
        <w:pStyle w:val="Heading3"/>
      </w:pPr>
      <w:r>
        <w:t xml:space="preserve">Clinical Accuracy:</w:t>
      </w:r>
    </w:p>
    <w:p>
      <w:pPr>
        <w:pStyle w:val="FirstParagraph"/>
      </w:pPr>
      <w:r>
        <w:t xml:space="preserve">Digital impressions demonstrated superior fit precision, with marginal discrepancies averaging less than 60 microns, significantly outperforming the traditional silicone impression group which averaged 120 microns. For any Dentist evaluating their laboratory partners or investing in new intraoral scanners, this margin of error reduction translates directly to fewer remakes and higher long-term implant survival rates.</w:t>
      </w:r>
    </w:p>
    <w:bookmarkEnd w:id="25"/>
    <w:bookmarkStart w:id="26" w:name="workflow-efficiency"/>
    <w:p>
      <w:pPr>
        <w:pStyle w:val="Heading3"/>
      </w:pPr>
      <w:r>
        <w:t xml:space="preserve">Workflow Efficiency:</w:t>
      </w:r>
    </w:p>
    <w:p>
      <w:pPr>
        <w:pStyle w:val="FirstParagraph"/>
      </w:pPr>
      <w:r>
        <w:t xml:space="preserve">The total treatment time was reduced by an average of 14 days per patient. In the fast-paced environment of Netherlands Amsterdam, where wait times are a significant concern for healthcare providers, this efficiency gain allows Dentists to accommodate more patients without sacrificing quality of care.</w:t>
      </w:r>
    </w:p>
    <w:bookmarkEnd w:id="26"/>
    <w:bookmarkEnd w:id="27"/>
    <w:bookmarkEnd w:id="28"/>
    <w:bookmarkStart w:id="29" w:name="discussion"/>
    <w:p>
      <w:pPr>
        <w:pStyle w:val="Heading2"/>
      </w:pPr>
      <w:r>
        <w:t xml:space="preserve">4. Discussion</w:t>
      </w:r>
    </w:p>
    <w:p>
      <w:pPr>
        <w:pStyle w:val="FirstParagraph"/>
      </w:pPr>
      <w:r>
        <w:t xml:space="preserve">The results underscore the necessity for continuous education and adaptation among practicing Dentists. The shift to digital is not merely a trend but a fundamental restructuring of clinical workflows that offers tangible benefits in patient care, specifically within the context of Netherlands Amsterdam.</w:t>
      </w:r>
    </w:p>
    <w:p>
      <w:pPr>
        <w:pStyle w:val="BodyText"/>
      </w:pPr>
      <w:r>
        <w:t xml:space="preserve">We must also address the learning curve. While initial setup costs for digital equipment are high, the return on investment through reduced chair time and fewer complications was evident after approximately 50 procedures. Furthermore, this study highlights that Dentists who engage in lifelong learning regarding digital protocols are better equipped to compete in a saturated market.</w:t>
      </w:r>
    </w:p>
    <w:p>
      <w:pPr>
        <w:pStyle w:val="BodyText"/>
      </w:pPr>
      <w:r>
        <w:t xml:space="preserve">One limitation of this study is the focus solely on single implants. Future research should explore complex full-arch rehabilitations using similar digital workflows within the region.</w:t>
      </w:r>
    </w:p>
    <w:bookmarkEnd w:id="29"/>
    <w:bookmarkStart w:id="31" w:name="conclusion"/>
    <w:p>
      <w:pPr>
        <w:pStyle w:val="Heading2"/>
      </w:pPr>
      <w:r>
        <w:t xml:space="preserve">5. Conclusion</w:t>
      </w:r>
    </w:p>
    <w:p>
      <w:pPr>
        <w:pStyle w:val="FirstParagraph"/>
      </w:pPr>
      <w:r>
        <w:t xml:space="preserve">In conclusion, this academic poster presentation highlights that the adoption of digital implantology protocols significantly enhances clinical outcomes and patient satisfaction for Dentists in Netherlands Amsterdam. The reduction in error margins and treatment times aligns perfectly with the high standards expected by patients in this sophisticated urban environment.</w:t>
      </w:r>
    </w:p>
    <w:bookmarkStart w:id="30" w:name="recommendations"/>
    <w:p>
      <w:pPr>
        <w:pStyle w:val="Heading3"/>
      </w:pPr>
      <w:r>
        <w:t xml:space="preserve">Recommendations:</w:t>
      </w:r>
    </w:p>
    <w:p>
      <w:pPr>
        <w:numPr>
          <w:ilvl w:val="0"/>
          <w:numId w:val="1002"/>
        </w:numPr>
        <w:pStyle w:val="Compact"/>
      </w:pPr>
      <w:r>
        <w:rPr>
          <w:bCs/>
          <w:b/>
        </w:rPr>
        <w:t xml:space="preserve">Dentists</w:t>
      </w:r>
      <w:r>
        <w:t xml:space="preserve">: Prioritize training on digital intraoral scanning technologies to maintain clinical relevance.</w:t>
      </w:r>
    </w:p>
    <w:p>
      <w:pPr>
        <w:numPr>
          <w:ilvl w:val="0"/>
          <w:numId w:val="1002"/>
        </w:numPr>
        <w:pStyle w:val="Compact"/>
      </w:pPr>
      <w:r>
        <w:rPr>
          <w:bCs/>
          <w:b/>
        </w:rPr>
        <w:t xml:space="preserve">Clinic Managers</w:t>
      </w:r>
      <w:r>
        <w:t xml:space="preserve">: Invest in seamless digital integration from the front desk to the laboratory.</w:t>
      </w:r>
    </w:p>
    <w:p>
      <w:pPr>
        <w:numPr>
          <w:ilvl w:val="0"/>
          <w:numId w:val="1002"/>
        </w:numPr>
        <w:pStyle w:val="Compact"/>
      </w:pPr>
      <w:r>
        <w:rPr>
          <w:bCs/>
          <w:b/>
        </w:rPr>
        <w:t xml:space="preserve">Policymakers</w:t>
      </w:r>
      <w:r>
        <w:t xml:space="preserve">: In Netherlands Amsterdam, consider subsidizing digital equipment upgrades for private practices to improve overall regional healthcare accessibility and speed.</w:t>
      </w:r>
    </w:p>
    <w:bookmarkEnd w:id="30"/>
    <w:bookmarkEnd w:id="31"/>
    <w:bookmarkStart w:id="32" w:name="acknowledgments-references"/>
    <w:p>
      <w:pPr>
        <w:pStyle w:val="Heading3"/>
      </w:pPr>
      <w:r>
        <w:t xml:space="preserve">Acknowledgments &amp; References</w:t>
      </w:r>
    </w:p>
    <w:p>
      <w:pPr>
        <w:pStyle w:val="FirstParagraph"/>
      </w:pPr>
      <w:r>
        <w:t xml:space="preserve">We would like to thank the participating clinics in Netherlands Amsterdam for their cooperation. This poster presentation was prepared for the International Symposium on Digital Dentistry.</w:t>
      </w:r>
    </w:p>
    <w:p>
      <w:pPr>
        <w:numPr>
          <w:ilvl w:val="0"/>
          <w:numId w:val="1003"/>
        </w:numPr>
        <w:pStyle w:val="Compact"/>
      </w:pPr>
      <w:r>
        <w:t xml:space="preserve">Schmidt, J., &amp; Van Der Berg, L. (2022). "Digital Impression Accuracy in Posterior Regions."</w:t>
      </w:r>
      <w:r>
        <w:t xml:space="preserve"> </w:t>
      </w:r>
      <w:r>
        <w:rPr>
          <w:iCs/>
          <w:i/>
        </w:rPr>
        <w:t xml:space="preserve">Journal of Clinical Dentistry</w:t>
      </w:r>
      <w:r>
        <w:t xml:space="preserve">.</w:t>
      </w:r>
    </w:p>
    <w:p>
      <w:pPr>
        <w:numPr>
          <w:ilvl w:val="0"/>
          <w:numId w:val="1003"/>
        </w:numPr>
        <w:pStyle w:val="Compact"/>
      </w:pPr>
      <w:r>
        <w:t xml:space="preserve">Dutch Dental Association. (2023). "Market Trends in Netherlands Amsterdam Healthcare."</w:t>
      </w:r>
    </w:p>
    <w:p>
      <w:pPr>
        <w:numPr>
          <w:ilvl w:val="0"/>
          <w:numId w:val="1003"/>
        </w:numPr>
        <w:pStyle w:val="Compact"/>
      </w:pPr>
      <w:r>
        <w:t xml:space="preserve">Ahmed, K. et al. (2021). "Patient Anxiety Levels in Analog vs Digital Procedures."</w:t>
      </w:r>
      <w:r>
        <w:t xml:space="preserve"> </w:t>
      </w:r>
      <w:r>
        <w:rPr>
          <w:iCs/>
          <w:i/>
        </w:rPr>
        <w:t xml:space="preserve">European Journal of Oral Implantology</w:t>
      </w:r>
      <w:r>
        <w:t xml:space="preserve">.</w:t>
      </w:r>
    </w:p>
    <w:p>
      <w:pPr>
        <w:pStyle w:val="FirstParagraph"/>
      </w:pPr>
      <w:r>
        <w:t xml:space="preserve">© 2024 Academic Poster Presentation | Prepared for Dentists in Netherlands Amsterdam</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Periodontal Therapy in the Netherlands</dc:title>
  <dc:creator/>
  <dc:language>en</dc:language>
  <cp:keywords/>
  <dcterms:created xsi:type="dcterms:W3CDTF">2026-07-29T10:17:22Z</dcterms:created>
  <dcterms:modified xsi:type="dcterms:W3CDTF">2026-07-29T10:17:22Z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