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Periodontal</w:t>
      </w:r>
      <w:r>
        <w:t xml:space="preserve"> </w:t>
      </w:r>
      <w:r>
        <w:t xml:space="preserve">Protocols</w:t>
      </w:r>
      <w:r>
        <w:t xml:space="preserve"> </w:t>
      </w:r>
      <w:r>
        <w:t xml:space="preserve">in</w:t>
      </w:r>
      <w:r>
        <w:t xml:space="preserve"> </w:t>
      </w:r>
      <w:r>
        <w:t xml:space="preserve">Diverse</w:t>
      </w:r>
      <w:r>
        <w:t xml:space="preserve"> </w:t>
      </w:r>
      <w:r>
        <w:t xml:space="preserve">Urban</w:t>
      </w:r>
      <w:r>
        <w:t xml:space="preserve"> </w:t>
      </w:r>
      <w:r>
        <w:t xml:space="preserve">Populations</w:t>
      </w:r>
    </w:p>
    <w:bookmarkStart w:id="20" w:name="bridging-the-gap-in-oral-health-equity"/>
    <w:p>
      <w:pPr>
        <w:pStyle w:val="Heading1"/>
      </w:pPr>
      <w:r>
        <w:t xml:space="preserve">Bridging the Gap in Oral Health Equity</w:t>
      </w:r>
    </w:p>
    <w:p>
      <w:pPr>
        <w:pStyle w:val="FirstParagraph"/>
      </w:pPr>
      <w:r>
        <w:t xml:space="preserve">A Comparative Analysis of Preventive Dentistry Interventions Across Socioeconomic Demographics in the United States San Francisco Metropolitan Area</w:t>
      </w:r>
    </w:p>
    <w:p>
      <w:pPr>
        <w:pStyle w:val="BodyText"/>
      </w:pPr>
      <w:r>
        <w:rPr>
          <w:bCs/>
          <w:b/>
        </w:rPr>
        <w:t xml:space="preserve">Presented By:</w:t>
      </w:r>
      <w:r>
        <w:br/>
      </w:r>
      <w:r>
        <w:t xml:space="preserve">Dr. Alex Chen, DDS, PhD</w:t>
      </w:r>
      <w:r>
        <w:br/>
      </w:r>
      <w:r>
        <w:t xml:space="preserve">Department of Public Health Dentistry</w:t>
      </w:r>
      <w:r>
        <w:br/>
      </w:r>
      <w:r>
        <w:t xml:space="preserve">University of California, San Francisco School of Dentistry</w:t>
      </w:r>
      <w:r>
        <w:br/>
      </w:r>
      <w:r>
        <w:br/>
      </w:r>
      <w:r>
        <w:rPr>
          <w:bCs/>
          <w:b/>
        </w:rPr>
        <w:t xml:space="preserve">In Collaboration With:</w:t>
      </w:r>
      <w:r>
        <w:br/>
      </w:r>
      <w:r>
        <w:t xml:space="preserve">The San Francisco Dental Coalition &amp; Bay Area Community Health Initiatives</w:t>
      </w:r>
    </w:p>
    <w:bookmarkEnd w:id="20"/>
    <w:bookmarkStart w:id="22" w:name="abstract"/>
    <w:bookmarkStart w:id="21" w:name="i.-abstract"/>
    <w:p>
      <w:pPr>
        <w:pStyle w:val="Heading2"/>
      </w:pPr>
      <w:r>
        <w:t xml:space="preserve">I. Abstract</w:t>
      </w:r>
    </w:p>
    <w:p>
      <w:pPr>
        <w:pStyle w:val="FirstParagraph"/>
      </w:pPr>
      <w:r>
        <w:t xml:space="preserve">The oral health landscape in the United States presents significant disparities, particularly within urban centers like San Francisco. Despite the city's status as a global hub for medical innovation and progressive social policies, vulnerable populations continue to suffer from higher rates of periodontal disease and untreated dental caries. This</w:t>
      </w:r>
      <w:r>
        <w:t xml:space="preserve"> </w:t>
      </w:r>
      <w:r>
        <w:rPr>
          <w:bCs/>
          <w:b/>
        </w:rPr>
        <w:t xml:space="preserve">Poster Presentation academic</w:t>
      </w:r>
      <w:r>
        <w:t xml:space="preserve"> </w:t>
      </w:r>
      <w:r>
        <w:t xml:space="preserve">document outlines a comprehensive study conducted over three years (2021-2024) evaluating the efficacy of community-based preventive dentistry programs. The primary objective was to determine if targeted educational interventions, combined with subsidized access to a modern</w:t>
      </w:r>
      <w:r>
        <w:t xml:space="preserve"> </w:t>
      </w:r>
      <w:r>
        <w:rPr>
          <w:bCs/>
          <w:b/>
        </w:rPr>
        <w:t xml:space="preserve">Dentist</w:t>
      </w:r>
      <w:r>
        <w:t xml:space="preserve">, could significantly reduce oral pathology among low-income residents in San Francisco.</w:t>
      </w:r>
    </w:p>
    <w:p>
      <w:pPr>
        <w:pStyle w:val="BodyText"/>
      </w:pPr>
      <w:r>
        <w:t xml:space="preserve">This study highlights that while healthcare accessibility has improved due to state-level mandates, the "treatment gap" remains wide for non-English speaking communities and transient populations. By analyzing clinical data from over 1,200 participants across five distinct neighborhoods in San Francisco, this paper argues for a holistic model of care that integrates social determinants of health with traditional clinical practice.</w:t>
      </w:r>
    </w:p>
    <w:bookmarkEnd w:id="21"/>
    <w:bookmarkEnd w:id="22"/>
    <w:bookmarkStart w:id="24" w:name="introduction"/>
    <w:bookmarkStart w:id="23" w:name="ii.-introduction-background"/>
    <w:p>
      <w:pPr>
        <w:pStyle w:val="Heading2"/>
      </w:pPr>
      <w:r>
        <w:t xml:space="preserve">II. Introduction &amp; Background</w:t>
      </w:r>
    </w:p>
    <w:p>
      <w:pPr>
        <w:pStyle w:val="FirstParagraph"/>
      </w:pPr>
      <w:r>
        <w:t xml:space="preserve">San Francisco is characterized by its unique demographic density and economic stratification. While the city boasts world-class medical institutions, the disparity in oral health outcomes between high-income neighborhoods such as Pacific Heights and lower-income areas like Hunter’s Point or Bayview-Hunters Point is stark. The role of a modern</w:t>
      </w:r>
      <w:r>
        <w:t xml:space="preserve"> </w:t>
      </w:r>
      <w:r>
        <w:rPr>
          <w:bCs/>
          <w:b/>
        </w:rPr>
        <w:t xml:space="preserve">Dentist</w:t>
      </w:r>
      <w:r>
        <w:t xml:space="preserve"> </w:t>
      </w:r>
      <w:r>
        <w:t xml:space="preserve">extends beyond cavity repair; it involves serving as a primary gatekeeper for systemic health, given the strong correlation between periodontal disease and conditions such as diabetes, cardiovascular disease, and respiratory illnesses.</w:t>
      </w:r>
    </w:p>
    <w:p>
      <w:pPr>
        <w:pStyle w:val="BodyText"/>
      </w:pPr>
      <w:r>
        <w:t xml:space="preserve">The challenge in the United States lies in the fragmentation of dental care. Unlike general medical care, dental insurance is often separate or insufficient for adults. In San Francisco specifically, the high cost of living exacerbates these issues, leading to delayed treatment until conditions become acute. This</w:t>
      </w:r>
      <w:r>
        <w:t xml:space="preserve"> </w:t>
      </w:r>
      <w:r>
        <w:rPr>
          <w:bCs/>
          <w:b/>
        </w:rPr>
        <w:t xml:space="preserve">Poster Presentation academic</w:t>
      </w:r>
      <w:r>
        <w:t xml:space="preserve"> </w:t>
      </w:r>
      <w:r>
        <w:t xml:space="preserve">review seeks to address how localized interventions can mitigate these systemic failures.</w:t>
      </w:r>
    </w:p>
    <w:bookmarkEnd w:id="23"/>
    <w:bookmarkEnd w:id="24"/>
    <w:bookmarkStart w:id="29" w:name="methodology"/>
    <w:bookmarkStart w:id="28" w:name="iii.-methodology"/>
    <w:p>
      <w:pPr>
        <w:pStyle w:val="Heading2"/>
      </w:pPr>
      <w:r>
        <w:t xml:space="preserve">III. Methodology</w:t>
      </w:r>
    </w:p>
    <w:p>
      <w:pPr>
        <w:pStyle w:val="FirstParagraph"/>
      </w:pPr>
      <w:r>
        <w:t xml:space="preserve">This longitudinal study employed a mixed-methods approach, combining quantitative clinical metrics with qualitative patient experience surveys.</w:t>
      </w:r>
    </w:p>
    <w:bookmarkStart w:id="25" w:name="a.-study-population"/>
    <w:p>
      <w:pPr>
        <w:pStyle w:val="Heading3"/>
      </w:pPr>
      <w:r>
        <w:t xml:space="preserve">A. Study Population</w:t>
      </w:r>
    </w:p>
    <w:p>
      <w:pPr>
        <w:pStyle w:val="FirstParagraph"/>
      </w:pPr>
      <w:r>
        <w:t xml:space="preserve">The cohort consisted of 1,200 adult residents of San Francisco. Participants were stratified into three groups based on socioeconomic status (SES) and insurance coverage:</w:t>
      </w:r>
    </w:p>
    <w:p>
      <w:pPr>
        <w:numPr>
          <w:ilvl w:val="0"/>
          <w:numId w:val="1001"/>
        </w:numPr>
        <w:pStyle w:val="Compact"/>
      </w:pPr>
      <w:r>
        <w:rPr>
          <w:bCs/>
          <w:b/>
        </w:rPr>
        <w:t xml:space="preserve">Group A (Control):</w:t>
      </w:r>
      <w:r>
        <w:t xml:space="preserve"> </w:t>
      </w:r>
      <w:r>
        <w:t xml:space="preserve">High SES with comprehensive dental insurance.</w:t>
      </w:r>
    </w:p>
    <w:p>
      <w:pPr>
        <w:numPr>
          <w:ilvl w:val="0"/>
          <w:numId w:val="1001"/>
        </w:numPr>
        <w:pStyle w:val="Compact"/>
      </w:pPr>
      <w:r>
        <w:rPr>
          <w:bCs/>
          <w:b/>
        </w:rPr>
        <w:t xml:space="preserve">Group B (Intervention - Partial Subsidy):</w:t>
      </w:r>
      <w:r>
        <w:t xml:space="preserve"> </w:t>
      </w:r>
      <w:r>
        <w:t xml:space="preserve">Low SES with limited Medicaid coverage for adults.</w:t>
      </w:r>
    </w:p>
    <w:p>
      <w:pPr>
        <w:numPr>
          <w:ilvl w:val="0"/>
          <w:numId w:val="1001"/>
        </w:numPr>
        <w:pStyle w:val="Compact"/>
      </w:pPr>
      <w:r>
        <w:t xml:space="preserve">Group C (Intervention - Full Community Access):</w:t>
      </w:r>
    </w:p>
    <w:bookmarkEnd w:id="25"/>
    <w:bookmarkStart w:id="26" w:name="b.-clinical-protocol"/>
    <w:p>
      <w:pPr>
        <w:pStyle w:val="Heading3"/>
      </w:pPr>
      <w:r>
        <w:t xml:space="preserve">B. Clinical Protocol</w:t>
      </w:r>
    </w:p>
    <w:p>
      <w:pPr>
        <w:pStyle w:val="FirstParagraph"/>
      </w:pPr>
      <w:r>
        <w:t xml:space="preserve">All participants received baseline assessments including periodontal probing depths, caries experience indices (DMFT), and oral hygiene instruction. The intervention group underwent a six-month program featuring bi-monthly cleanings, nutritional counseling, and direct consultation with a licensed</w:t>
      </w:r>
      <w:r>
        <w:t xml:space="preserve"> </w:t>
      </w:r>
      <w:r>
        <w:rPr>
          <w:bCs/>
          <w:b/>
        </w:rPr>
        <w:t xml:space="preserve">Dentist</w:t>
      </w:r>
      <w:r>
        <w:t xml:space="preserve">. The control group received standard care as dictated by their respective insurance plans.</w:t>
      </w:r>
    </w:p>
    <w:bookmarkEnd w:id="26"/>
    <w:bookmarkStart w:id="27" w:name="c.-data-collection"/>
    <w:p>
      <w:pPr>
        <w:pStyle w:val="Heading3"/>
      </w:pPr>
      <w:r>
        <w:t xml:space="preserve">C. Data Collection</w:t>
      </w:r>
    </w:p>
    <w:p>
      <w:pPr>
        <w:pStyle w:val="FirstParagraph"/>
      </w:pPr>
      <w:r>
        <w:t xml:space="preserve">Data was collected via electronic health records (EHR) integrated with the San Francisco Health Network. Statistical analysis was performed using SPSS software, focusing on changes in gingival index and patient-reported outcomes measures (PROMs).</w:t>
      </w:r>
    </w:p>
    <w:bookmarkEnd w:id="27"/>
    <w:bookmarkEnd w:id="28"/>
    <w:bookmarkEnd w:id="29"/>
    <w:bookmarkStart w:id="31" w:name="results"/>
    <w:bookmarkStart w:id="30" w:name="iv.-results"/>
    <w:p>
      <w:pPr>
        <w:pStyle w:val="Heading2"/>
      </w:pPr>
      <w:r>
        <w:t xml:space="preserve">IV. Results</w:t>
      </w:r>
    </w:p>
    <w:p>
      <w:pPr>
        <w:pStyle w:val="FirstParagraph"/>
      </w:pPr>
      <w:r>
        <w:t xml:space="preserve">The findings indicate a statistically significant improvement in oral health outcomes for the intervention groups compared to the control group, particularly regarding preventive metrics.</w:t>
      </w:r>
    </w:p>
    <w:p>
      <w:pPr>
        <w:numPr>
          <w:ilvl w:val="0"/>
          <w:numId w:val="1002"/>
        </w:numPr>
        <w:pStyle w:val="Compact"/>
      </w:pPr>
      <w:r>
        <w:rPr>
          <w:bCs/>
          <w:b/>
        </w:rPr>
        <w:t xml:space="preserve">Gingival Health:</w:t>
      </w:r>
      <w:r>
        <w:t xml:space="preserve"> </w:t>
      </w:r>
      <w:r>
        <w:t xml:space="preserve">Group C showed a 45% reduction in bleeding on probing after six months, compared to only 12% in Group B and a slight increase (due to natural progression without intervention) in Group A's delayed treatment cases.</w:t>
      </w:r>
    </w:p>
    <w:p>
      <w:pPr>
        <w:numPr>
          <w:ilvl w:val="0"/>
          <w:numId w:val="1002"/>
        </w:numPr>
        <w:pStyle w:val="Compact"/>
      </w:pPr>
      <w:r>
        <w:rPr>
          <w:bCs/>
          <w:b/>
        </w:rPr>
        <w:t xml:space="preserve">Caries Prevention:</w:t>
      </w:r>
      <w:r>
        <w:t xml:space="preserve"> </w:t>
      </w:r>
      <w:r>
        <w:t xml:space="preserve">The incidence of new cavities was lowest in Group C. Notably, patients who received regular maintenance from a dedicated</w:t>
      </w:r>
      <w:r>
        <w:t xml:space="preserve"> </w:t>
      </w:r>
      <w:r>
        <w:rPr>
          <w:bCs/>
          <w:b/>
        </w:rPr>
        <w:t xml:space="preserve">Dentist</w:t>
      </w:r>
      <w:r>
        <w:t xml:space="preserve"> </w:t>
      </w:r>
      <w:r>
        <w:t xml:space="preserve">were 3 times less likely to require extractions for restorative purposes.</w:t>
      </w:r>
    </w:p>
    <w:p>
      <w:pPr>
        <w:numPr>
          <w:ilvl w:val="0"/>
          <w:numId w:val="1002"/>
        </w:numPr>
        <w:pStyle w:val="Compact"/>
      </w:pPr>
      <w:r>
        <w:rPr>
          <w:bCs/>
          <w:b/>
        </w:rPr>
        <w:t xml:space="preserve">Patient Satisfaction:</w:t>
      </w:r>
      <w:r>
        <w:t xml:space="preserve"> </w:t>
      </w:r>
      <w:r>
        <w:t xml:space="preserve">Qualitative surveys revealed that cultural competency and language accessibility were the primary drivers of adherence. Patients in neighborhoods with multilingual staff reported higher trust levels and better compliance with home care routines.</w:t>
      </w:r>
    </w:p>
    <w:p>
      <w:pPr>
        <w:pStyle w:val="FirstParagraph"/>
      </w:pPr>
      <w:r>
        <w:t xml:space="preserve">Key Finding:</w:t>
      </w:r>
    </w:p>
    <w:p>
      <w:pPr>
        <w:pStyle w:val="BodyText"/>
      </w:pPr>
      <w:r>
        <w:t xml:space="preserve">The data suggests that proximity to a dental provider is less critical than the consistency of contact. In San Francisco, mobile dental units staffed by resident dentists proved more effective in reducing emergency room visits for oral abscesses than static clinic hours.</w:t>
      </w:r>
    </w:p>
    <w:bookmarkEnd w:id="30"/>
    <w:bookmarkEnd w:id="31"/>
    <w:bookmarkStart w:id="35" w:name="discussion"/>
    <w:bookmarkStart w:id="34" w:name="Xb3ace235a95509694e067990b62cd95960a6712"/>
    <w:p>
      <w:pPr>
        <w:pStyle w:val="Heading2"/>
      </w:pPr>
      <w:r>
        <w:t xml:space="preserve">V. Discussion: The Role of the Dentist in Urban Health</w:t>
      </w:r>
    </w:p>
    <w:p>
      <w:pPr>
        <w:pStyle w:val="FirstParagraph"/>
      </w:pPr>
      <w:r>
        <w:t xml:space="preserve">This study underscores the evolving identity of the modern dentist within urban public health frameworks. In the context of United States San Francisco, a city that prides itself on progressive healthcare policies, it is evident that traditional fee-for-service models fail to capture at-risk populations. The role of the</w:t>
      </w:r>
      <w:r>
        <w:t xml:space="preserve"> </w:t>
      </w:r>
      <w:r>
        <w:rPr>
          <w:bCs/>
          <w:b/>
        </w:rPr>
        <w:t xml:space="preserve">Dentist</w:t>
      </w:r>
      <w:r>
        <w:t xml:space="preserve"> </w:t>
      </w:r>
      <w:r>
        <w:t xml:space="preserve">must shift from reactive treatment to proactive community stewardship.</w:t>
      </w:r>
    </w:p>
    <w:bookmarkStart w:id="32" w:name="a.-socioeconomic-determinants"/>
    <w:p>
      <w:pPr>
        <w:pStyle w:val="Heading3"/>
      </w:pPr>
      <w:r>
        <w:t xml:space="preserve">A. Socioeconomic Determinants</w:t>
      </w:r>
    </w:p>
    <w:p>
      <w:pPr>
        <w:pStyle w:val="FirstParagraph"/>
      </w:pPr>
      <w:r>
        <w:t xml:space="preserve">The disparity observed in Group B highlights a critical gap in California’s adult dental coverage (Medi-Cal). While children are well-served, adults often face long waitlists for basic procedures. This reinforces the need for public-private partnerships where academic institutions collaborate with city health departments to subsidize care.</w:t>
      </w:r>
    </w:p>
    <w:bookmarkEnd w:id="32"/>
    <w:bookmarkStart w:id="33" w:name="b.-cultural-competency"/>
    <w:p>
      <w:pPr>
        <w:pStyle w:val="Heading3"/>
      </w:pPr>
      <w:r>
        <w:t xml:space="preserve">B. Cultural Competency</w:t>
      </w:r>
    </w:p>
    <w:p>
      <w:pPr>
        <w:pStyle w:val="FirstParagraph"/>
      </w:pPr>
      <w:r>
        <w:t xml:space="preserve">San Francisco’s diversity requires a dental workforce that reflects the community it serves. Our results indicate that when patients perceive their dentist as culturally competent—understanding dietary habits, language barriers, and immigration fears—the success rate of periodontal therapy increases dramatically. This is a crucial takeaway for dental education programs in major US cities.</w:t>
      </w:r>
    </w:p>
    <w:bookmarkEnd w:id="33"/>
    <w:bookmarkEnd w:id="34"/>
    <w:bookmarkEnd w:id="35"/>
    <w:bookmarkStart w:id="38" w:name="conclusion"/>
    <w:bookmarkStart w:id="37" w:name="vi.-conclusion-recommendations"/>
    <w:p>
      <w:pPr>
        <w:pStyle w:val="Heading2"/>
      </w:pPr>
      <w:r>
        <w:t xml:space="preserve">VI. Conclusion &amp; Recommendations</w:t>
      </w:r>
    </w:p>
    <w:p>
      <w:pPr>
        <w:pStyle w:val="FirstParagraph"/>
      </w:pPr>
      <w:r>
        <w:t xml:space="preserve">In conclusion, this academic poster presentation demonstrates that targeted preventive interventions led by a committed dentist can significantly improve oral health equity in San Francisco. The data supports the implementation of integrated care models that address both clinical needs and social barriers.</w:t>
      </w:r>
    </w:p>
    <w:bookmarkStart w:id="36" w:name="recommendations-for-policy-and-practice"/>
    <w:p>
      <w:pPr>
        <w:pStyle w:val="Heading3"/>
      </w:pPr>
      <w:r>
        <w:t xml:space="preserve">Recommendations for Policy and Practice:</w:t>
      </w:r>
    </w:p>
    <w:p>
      <w:pPr>
        <w:numPr>
          <w:ilvl w:val="0"/>
          <w:numId w:val="1003"/>
        </w:numPr>
        <w:pStyle w:val="Compact"/>
      </w:pPr>
      <w:r>
        <w:rPr>
          <w:bCs/>
          <w:b/>
        </w:rPr>
        <w:t xml:space="preserve">Mandatory Expanded Benefits:</w:t>
      </w:r>
    </w:p>
    <w:p>
      <w:pPr>
        <w:numPr>
          <w:ilvl w:val="0"/>
          <w:numId w:val="1003"/>
        </w:numPr>
        <w:pStyle w:val="Compact"/>
      </w:pPr>
      <w:r>
        <w:rPr>
          <w:bCs/>
          <w:b/>
        </w:rPr>
        <w:t xml:space="preserve">Dental Hubs:</w:t>
      </w:r>
    </w:p>
    <w:p>
      <w:pPr>
        <w:numPr>
          <w:ilvl w:val="0"/>
          <w:numId w:val="1003"/>
        </w:numPr>
        <w:pStyle w:val="Compact"/>
      </w:pPr>
      <w:r>
        <w:rPr>
          <w:bCs/>
          <w:b/>
        </w:rPr>
        <w:t xml:space="preserve">Educational Integration:</w:t>
      </w:r>
    </w:p>
    <w:p>
      <w:pPr>
        <w:pStyle w:val="FirstParagraph"/>
      </w:pPr>
      <w:r>
        <w:t xml:space="preserve">The future of oral health in the United States depends on our ability to adapt. San Francisco serves as a microcosm for national challenges, and its solutions may offer a blueprint for other major metropolitan areas seeking to bridge the gap between medical innovation and accessible care.</w:t>
      </w:r>
    </w:p>
    <w:bookmarkEnd w:id="36"/>
    <w:bookmarkEnd w:id="37"/>
    <w:bookmarkEnd w:id="38"/>
    <w:bookmarkStart w:id="40" w:name="references"/>
    <w:bookmarkStart w:id="39" w:name="vii.-references-acknowledgments"/>
    <w:p>
      <w:pPr>
        <w:pStyle w:val="Heading2"/>
      </w:pPr>
      <w:r>
        <w:t xml:space="preserve">VII. References &amp; Acknowledgments</w:t>
      </w:r>
    </w:p>
    <w:p>
      <w:pPr>
        <w:pStyle w:val="FirstParagraph"/>
      </w:pPr>
      <w:r>
        <w:t xml:space="preserve">This research was supported by the National Institute of Dental and Craniofacial Research (NIDCR) Grant #R01DE034567. Special thanks to the volunteer staff at the Mission Bay Community Clinic and the data analysis team at UCSF.</w:t>
      </w:r>
    </w:p>
    <w:p>
      <w:pPr>
        <w:numPr>
          <w:ilvl w:val="0"/>
          <w:numId w:val="1004"/>
        </w:numPr>
        <w:pStyle w:val="Compact"/>
      </w:pPr>
      <w:r>
        <w:t xml:space="preserve">Smith, J. et al. (2022). "Urban Oral Health Disparities in California."</w:t>
      </w:r>
      <w:r>
        <w:t xml:space="preserve"> </w:t>
      </w:r>
      <w:r>
        <w:rPr>
          <w:iCs/>
          <w:i/>
        </w:rPr>
        <w:t xml:space="preserve">JADA</w:t>
      </w:r>
      <w:r>
        <w:t xml:space="preserve">.</w:t>
      </w:r>
    </w:p>
    <w:p>
      <w:pPr>
        <w:numPr>
          <w:ilvl w:val="0"/>
          <w:numId w:val="1004"/>
        </w:numPr>
        <w:pStyle w:val="Compact"/>
      </w:pPr>
      <w:r>
        <w:t xml:space="preserve">Doe, A. &amp; Lee, K. (2023). "The Impact of Mobile Dental Units on Emergency Department Utilization."</w:t>
      </w:r>
      <w:r>
        <w:t xml:space="preserve"> </w:t>
      </w:r>
      <w:r>
        <w:rPr>
          <w:iCs/>
          <w:i/>
        </w:rPr>
        <w:t xml:space="preserve">Public Health Reports</w:t>
      </w:r>
      <w:r>
        <w:t xml:space="preserve">.</w:t>
      </w:r>
    </w:p>
    <w:p>
      <w:pPr>
        <w:numPr>
          <w:ilvl w:val="0"/>
          <w:numId w:val="1004"/>
        </w:numPr>
        <w:pStyle w:val="Compact"/>
      </w:pPr>
      <w:r>
        <w:t xml:space="preserve">San Francisco Department of Public Health. (2024). "Annual Community Health Assessment."</w:t>
      </w:r>
    </w:p>
    <w:bookmarkEnd w:id="39"/>
    <w:bookmarkEnd w:id="40"/>
    <w:p>
      <w:pPr>
        <w:pStyle w:val="FirstParagraph"/>
      </w:pPr>
      <w:r>
        <w:t xml:space="preserve">[ QR Code Link to Full Digital Proceedings ]</w:t>
      </w:r>
      <w:r>
        <w:br/>
      </w:r>
      <w:r>
        <w:t xml:space="preserve">Scan for full dataset and supplementary materials.</w:t>
      </w:r>
    </w:p>
    <w:p>
      <w:pPr>
        <w:pStyle w:val="BodyText"/>
      </w:pPr>
      <w:r>
        <w:t xml:space="preserve">© 2024 Academic Dental Research Institute | Presented at the Annual Bay Area Health Symposium | San Francisco, 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Periodontal Protocols in Diverse Urban Populations</dc:title>
  <dc:creator/>
  <dc:language>en</dc:language>
  <cp:keywords/>
  <dcterms:created xsi:type="dcterms:W3CDTF">2026-07-29T22:33:04Z</dcterms:created>
  <dcterms:modified xsi:type="dcterms:W3CDTF">2026-07-29T22:33:04Z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