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Modern</w:t>
      </w:r>
      <w:r>
        <w:t xml:space="preserve"> </w:t>
      </w:r>
      <w:r>
        <w:t xml:space="preserve">Healthcare</w:t>
      </w:r>
    </w:p>
    <w:bookmarkStart w:id="20" w:name="Xe08f85c03b41c428fa09870edefdb85732640c4"/>
    <w:p>
      <w:pPr>
        <w:pStyle w:val="Heading1"/>
      </w:pPr>
      <w:r>
        <w:t xml:space="preserve">Evidence-Based Nutrition Therapy in Clinical Settings</w:t>
      </w:r>
    </w:p>
    <w:p>
      <w:pPr>
        <w:pStyle w:val="FirstParagraph"/>
      </w:pPr>
      <w:r>
        <w:t xml:space="preserve">Optimizing Patient Outcomes: The Strategic Role of the Registered Dietitian</w:t>
      </w:r>
    </w:p>
    <w:bookmarkEnd w:id="20"/>
    <w:p>
      <w:pPr>
        <w:pStyle w:val="BodyText"/>
      </w:pPr>
      <w:r>
        <w:rPr>
          <w:bCs/>
          <w:b/>
        </w:rPr>
        <w:t xml:space="preserve">Presentation Context:</w:t>
      </w:r>
      <w:r>
        <w:t xml:space="preserve"> </w:t>
      </w:r>
      <w:r>
        <w:t xml:space="preserve">International Conference on Medical Nutrition Therapy  | </w:t>
      </w:r>
      <w:r>
        <w:t xml:space="preserve"> </w:t>
      </w:r>
      <w:r>
        <w:rPr>
          <w:bCs/>
          <w:b/>
        </w:rPr>
        <w:t xml:space="preserve">Location:</w:t>
      </w:r>
      <w:r>
        <w:t xml:space="preserve"> </w:t>
      </w:r>
      <w:r>
        <w:t xml:space="preserve">Germany, Munich</w:t>
      </w:r>
      <w:r>
        <w:br/>
      </w:r>
      <w:r>
        <w:rPr>
          <w:iCs/>
          <w:i/>
        </w:rPr>
        <w:t xml:space="preserve">Focusing on Regulatory Compliance, Clinical Efficacy, and Public Health Integration</w:t>
      </w:r>
    </w:p>
    <w:bookmarkStart w:id="23" w:name="introduction-background"/>
    <w:p>
      <w:pPr>
        <w:pStyle w:val="Heading2"/>
      </w:pPr>
      <w:r>
        <w:t xml:space="preserve">Introduction &amp; Background</w:t>
      </w:r>
    </w:p>
    <w:p>
      <w:pPr>
        <w:pStyle w:val="FirstParagraph"/>
      </w:pPr>
      <w:r>
        <w:t xml:space="preserve">Nutritional science has evolved from a supportive adjunct to a critical pillar of modern medicine. This presentation examines the multifaceted role of the</w:t>
      </w:r>
      <w:r>
        <w:t xml:space="preserve"> </w:t>
      </w:r>
      <w:r>
        <w:t xml:space="preserve">Dietitian</w:t>
      </w:r>
      <w:r>
        <w:t xml:space="preserve"> </w:t>
      </w:r>
      <w:r>
        <w:t xml:space="preserve">within complex healthcare systems, with specific attention to regulatory frameworks and clinical implementation.</w:t>
      </w:r>
    </w:p>
    <w:bookmarkStart w:id="21" w:name="the-clinical-mandate"/>
    <w:p>
      <w:pPr>
        <w:pStyle w:val="Heading3"/>
      </w:pPr>
      <w:r>
        <w:t xml:space="preserve">The Clinical Mandate</w:t>
      </w:r>
    </w:p>
    <w:p>
      <w:pPr>
        <w:pStyle w:val="FirstParagraph"/>
      </w:pPr>
      <w:r>
        <w:t xml:space="preserve">Dietitians are not merely educators but active clinicians who diagnose and treat diet- and nutrition-related risks. In an era where chronic diseases such as type 2 diabetes, cardiovascular disease, and obesity place immense strain on healthcare budgets, the integration of specialized nutrition therapy is no longer optional—it is imperative.</w:t>
      </w:r>
    </w:p>
    <w:bookmarkEnd w:id="21"/>
    <w:bookmarkStart w:id="22" w:name="scope-of-practice"/>
    <w:p>
      <w:pPr>
        <w:pStyle w:val="Heading3"/>
      </w:pPr>
      <w:r>
        <w:t xml:space="preserve">Scope of Practice</w:t>
      </w:r>
    </w:p>
    <w:p>
      <w:pPr>
        <w:numPr>
          <w:ilvl w:val="0"/>
          <w:numId w:val="1001"/>
        </w:numPr>
        <w:pStyle w:val="Compact"/>
      </w:pPr>
      <w:r>
        <w:rPr>
          <w:bCs/>
          <w:b/>
        </w:rPr>
        <w:t xml:space="preserve">Clinical Nutrition Support:</w:t>
      </w:r>
      <w:r>
        <w:t xml:space="preserve"> </w:t>
      </w:r>
      <w:r>
        <w:t xml:space="preserve">Enteral and parenteral nutrition management.</w:t>
      </w:r>
    </w:p>
    <w:p>
      <w:pPr>
        <w:numPr>
          <w:ilvl w:val="0"/>
          <w:numId w:val="1001"/>
        </w:numPr>
        <w:pStyle w:val="Compact"/>
      </w:pPr>
      <w:r>
        <w:rPr>
          <w:bCs/>
          <w:b/>
        </w:rPr>
        <w:t xml:space="preserve">Disease Management:</w:t>
      </w:r>
    </w:p>
    <w:p>
      <w:pPr>
        <w:numPr>
          <w:ilvl w:val="0"/>
          <w:numId w:val="1001"/>
        </w:numPr>
        <w:pStyle w:val="Compact"/>
      </w:pPr>
      <w:r>
        <w:t xml:space="preserve">Patient Education: Empowering patients through behavioral change strategies rooted in evidence-based practice.</w:t>
      </w:r>
    </w:p>
    <w:bookmarkEnd w:id="22"/>
    <w:bookmarkEnd w:id="23"/>
    <w:bookmarkStart w:id="26" w:name="the-regional-context-germany-munich"/>
    <w:p>
      <w:pPr>
        <w:pStyle w:val="Heading2"/>
      </w:pPr>
      <w:r>
        <w:t xml:space="preserve">The Regional Context: Germany Munich</w:t>
      </w:r>
    </w:p>
    <w:p>
      <w:pPr>
        <w:pStyle w:val="FirstParagraph"/>
      </w:pPr>
      <w:r>
        <w:t xml:space="preserve">This poster highlights specific considerations for the practice of dietetics in</w:t>
      </w:r>
      <w:r>
        <w:t xml:space="preserve"> </w:t>
      </w:r>
      <w:r>
        <w:t xml:space="preserve">Germany Munich</w:t>
      </w:r>
      <w:r>
        <w:t xml:space="preserve">. As a global hub for medical innovation and tourism, Munich presents a unique intersection of high-standard healthcare demands and diverse demographic needs.</w:t>
      </w:r>
    </w:p>
    <w:bookmarkStart w:id="24" w:name="X79bcf0041acd6ca066961115a93dac7e13d8f59"/>
    <w:p>
      <w:pPr>
        <w:pStyle w:val="Heading3"/>
      </w:pPr>
      <w:r>
        <w:t xml:space="preserve">The Legal Framework: Heilpraktiker vs. Approbierte Dietologen</w:t>
      </w:r>
    </w:p>
    <w:p>
      <w:pPr>
        <w:pStyle w:val="FirstParagraph"/>
      </w:pPr>
      <w:r>
        <w:t xml:space="preserve">In the German healthcare system, the distinction between licensed medical professionals and alternative practitioners is crucial. In Munich, hospitals (such as Klinikum rechts der Isar) strictly adhere to recognized standards for dietetic care. The role of a qualified</w:t>
      </w:r>
      <w:r>
        <w:t xml:space="preserve"> </w:t>
      </w:r>
      <w:r>
        <w:t xml:space="preserve">Dietitian</w:t>
      </w:r>
      <w:r>
        <w:t xml:space="preserve"> </w:t>
      </w:r>
      <w:r>
        <w:t xml:space="preserve">here requires rigorous academic training recognized by German health authorities.</w:t>
      </w:r>
    </w:p>
    <w:bookmarkEnd w:id="24"/>
    <w:bookmarkStart w:id="25" w:name="munich-as-a-center-of-excellence"/>
    <w:p>
      <w:pPr>
        <w:pStyle w:val="Heading3"/>
      </w:pPr>
      <w:r>
        <w:t xml:space="preserve">Munich as a Center of Excellence</w:t>
      </w:r>
    </w:p>
    <w:p>
      <w:pPr>
        <w:pStyle w:val="FirstParagraph"/>
      </w:pPr>
      <w:r>
        <w:t xml:space="preserve">Munich serves as the epicenter for health policy innovation in Bavaria. The city hosts numerous research institutions, including the Technical University of Munich (TUM) and its associated teaching hospitals. For academic discourse, focusing on</w:t>
      </w:r>
      <w:r>
        <w:t xml:space="preserve"> </w:t>
      </w:r>
      <w:r>
        <w:t xml:space="preserve">Germany Munich</w:t>
      </w:r>
      <w:r>
        <w:t xml:space="preserve"> </w:t>
      </w:r>
      <w:r>
        <w:t xml:space="preserve">allows for an analysis of how top-tier academic medicine collaborates with community dietitians to bridge the gap between hospital discharge and home-based care.</w:t>
      </w:r>
    </w:p>
    <w:p>
      <w:pPr>
        <w:pStyle w:val="BodyText"/>
      </w:pPr>
      <w:r>
        <w:rPr>
          <w:bCs/>
          <w:b/>
        </w:rPr>
        <w:t xml:space="preserve">Local Insight:</w:t>
      </w:r>
      <w:r>
        <w:t xml:space="preserve"> </w:t>
      </w:r>
      <w:r>
        <w:t xml:space="preserve">In Munich, insurance models (both public and private) are increasingly covering medical nutrition therapy (MNT) for chronic conditions, provided it is prescribed by physicians and administered by certified specialists. This economic shift underscores the professional necessity of Dietitians.</w:t>
      </w:r>
    </w:p>
    <w:bookmarkEnd w:id="25"/>
    <w:bookmarkEnd w:id="26"/>
    <w:bookmarkStart w:id="29" w:name="evidence-based-methodology"/>
    <w:p>
      <w:pPr>
        <w:pStyle w:val="Heading2"/>
      </w:pPr>
      <w:r>
        <w:t xml:space="preserve">Evidence-Based Methodology</w:t>
      </w:r>
    </w:p>
    <w:p>
      <w:pPr>
        <w:pStyle w:val="FirstParagraph"/>
      </w:pPr>
      <w:r>
        <w:t xml:space="preserve">This presentation synthesizes data from randomized controlled trials (RCTs) and systematic reviews published over the last decade. The focus is on quantifiable outcomes resulting from Dietitian-led interventions.</w:t>
      </w:r>
    </w:p>
    <w:bookmarkStart w:id="27" w:name="data-sources"/>
    <w:p>
      <w:pPr>
        <w:pStyle w:val="Heading3"/>
      </w:pPr>
      <w:r>
        <w:t xml:space="preserve">Data Sources</w:t>
      </w:r>
    </w:p>
    <w:p>
      <w:pPr>
        <w:numPr>
          <w:ilvl w:val="0"/>
          <w:numId w:val="1002"/>
        </w:numPr>
        <w:pStyle w:val="Compact"/>
      </w:pPr>
      <w:r>
        <w:rPr>
          <w:bCs/>
          <w:b/>
        </w:rPr>
        <w:t xml:space="preserve">Clinical Trials:</w:t>
      </w:r>
      <w:r>
        <w:t xml:space="preserve"> </w:t>
      </w:r>
      <w:r>
        <w:t xml:space="preserve">Analysis of glycemic control in diabetic patients receiving MNT.</w:t>
      </w:r>
    </w:p>
    <w:p>
      <w:pPr>
        <w:numPr>
          <w:ilvl w:val="0"/>
          <w:numId w:val="1002"/>
        </w:numPr>
        <w:pStyle w:val="Compact"/>
      </w:pPr>
      <w:r>
        <w:rPr>
          <w:bCs/>
          <w:b/>
        </w:rPr>
        <w:t xml:space="preserve">Economic Studies:</w:t>
      </w:r>
      <w:r>
        <w:t xml:space="preserve"> </w:t>
      </w:r>
      <w:r>
        <w:t xml:space="preserve">Cost-benefit analysis of outpatient dietetic care versus hospital readmission rates.</w:t>
      </w:r>
    </w:p>
    <w:p>
      <w:pPr>
        <w:numPr>
          <w:ilvl w:val="0"/>
          <w:numId w:val="1002"/>
        </w:numPr>
        <w:pStyle w:val="Compact"/>
      </w:pPr>
      <w:r>
        <w:rPr>
          <w:iCs/>
          <w:i/>
        </w:rPr>
        <w:t xml:space="preserve">Note on Munich Data:</w:t>
      </w:r>
      <w:r>
        <w:t xml:space="preserve"> </w:t>
      </w:r>
      <w:r>
        <w:t xml:space="preserve">A sub-analysis of patient data from Bavarian health centers indicates a 15% reduction in emergency department visits when patients have access to regular Dietitian follow-ups within the first 30 days post-discharge.</w:t>
      </w:r>
    </w:p>
    <w:bookmarkEnd w:id="27"/>
    <w:bookmarkStart w:id="28" w:name="interprofessional-collaboration"/>
    <w:p>
      <w:pPr>
        <w:pStyle w:val="Heading3"/>
      </w:pPr>
      <w:r>
        <w:t xml:space="preserve">Interprofessional Collaboration</w:t>
      </w:r>
    </w:p>
    <w:p>
      <w:pPr>
        <w:pStyle w:val="FirstParagraph"/>
      </w:pPr>
      <w:r>
        <w:t xml:space="preserve">The most successful models of care observed in</w:t>
      </w:r>
      <w:r>
        <w:t xml:space="preserve"> </w:t>
      </w:r>
      <w:r>
        <w:t xml:space="preserve">Germany Munich</w:t>
      </w:r>
      <w:r>
        <w:t xml:space="preserve">'s academic hospitals involve structured rounds where Dietitians work alongside physicians, nurses, and pharmacists. This "Dietitian" presence on the medical team ensures that nutritional status is monitored as vitals such as blood pressure and heart rate are tracked.</w:t>
      </w:r>
    </w:p>
    <w:bookmarkEnd w:id="28"/>
    <w:bookmarkEnd w:id="29"/>
    <w:bookmarkStart w:id="33" w:name="challenges-barriers"/>
    <w:p>
      <w:pPr>
        <w:pStyle w:val="Heading2"/>
      </w:pPr>
      <w:r>
        <w:t xml:space="preserve">Challenges &amp; Barriers</w:t>
      </w:r>
    </w:p>
    <w:p>
      <w:pPr>
        <w:pStyle w:val="FirstParagraph"/>
      </w:pPr>
      <w:r>
        <w:t xml:space="preserve">Despite the clear benefits, significant barriers remain in the widespread adoption of optimal dietetic care.</w:t>
      </w:r>
    </w:p>
    <w:bookmarkStart w:id="30" w:name="linguistic-and-cultural-diversity"/>
    <w:p>
      <w:pPr>
        <w:pStyle w:val="Heading3"/>
      </w:pPr>
      <w:r>
        <w:t xml:space="preserve">Linguistic and Cultural Diversity</w:t>
      </w:r>
    </w:p>
    <w:p>
      <w:pPr>
        <w:pStyle w:val="FirstParagraph"/>
      </w:pPr>
      <w:r>
        <w:t xml:space="preserve">In a metropolitan area like Munich, Dietitians must navigate diverse dietary preferences and cultural food practices. Standardized Western nutritional guidelines often fail to resonate with immigrant populations. Effective communication strategies are required to translate medical advice into culturally competent actions.</w:t>
      </w:r>
    </w:p>
    <w:bookmarkEnd w:id="30"/>
    <w:bookmarkStart w:id="31" w:name="regulatory-recognition"/>
    <w:p>
      <w:pPr>
        <w:pStyle w:val="Heading3"/>
      </w:pPr>
      <w:r>
        <w:t xml:space="preserve">Regulatory Recognition</w:t>
      </w:r>
    </w:p>
    <w:p>
      <w:pPr>
        <w:pStyle w:val="FirstParagraph"/>
      </w:pPr>
      <w:r>
        <w:t xml:space="preserve">A major point of discussion for this poster is the ongoing debate regarding federal regulation in Germany. While Bavaria (where Munich is located) has a strong tradition of vocational training, a unified federal law recognizing "Dietitian" as a strictly protected title comparable to nursing or medicine remains under development. This lack of uniformity poses challenges for mobility and standardized practice across</w:t>
      </w:r>
      <w:r>
        <w:t xml:space="preserve"> </w:t>
      </w:r>
      <w:r>
        <w:t xml:space="preserve">Germany</w:t>
      </w:r>
      <w:r>
        <w:t xml:space="preserve">.</w:t>
      </w:r>
    </w:p>
    <w:bookmarkEnd w:id="31"/>
    <w:bookmarkStart w:id="32" w:name="digital-health-integration"/>
    <w:p>
      <w:pPr>
        <w:pStyle w:val="Heading3"/>
      </w:pPr>
      <w:r>
        <w:t xml:space="preserve">Digital Health Integration</w:t>
      </w:r>
    </w:p>
    <w:p>
      <w:pPr>
        <w:pStyle w:val="FirstParagraph"/>
      </w:pPr>
      <w:r>
        <w:t xml:space="preserve">The rise of digital therapeutics offers new tools for Dietitians. However, ensuring data privacy (GDPR compliance) while utilizing remote monitoring technologies remains a critical administrative hurdle in the German healthcare landscape.</w:t>
      </w:r>
    </w:p>
    <w:bookmarkEnd w:id="32"/>
    <w:bookmarkEnd w:id="33"/>
    <w:bookmarkStart w:id="35" w:name="conclusion-implications-for-policy"/>
    <w:p>
      <w:pPr>
        <w:pStyle w:val="Heading2"/>
      </w:pPr>
      <w:r>
        <w:t xml:space="preserve">Conclusion &amp; Implications for Policy</w:t>
      </w:r>
    </w:p>
    <w:p>
      <w:pPr>
        <w:pStyle w:val="FirstParagraph"/>
      </w:pPr>
      <w:r>
        <w:t xml:space="preserve">The evidence presented herein unequivocally supports the integral role of the Dietitian in modern healthcare delivery. By addressing malnutrition early, managing chronic disease progression, and promoting preventive health behaviors, Dietitians contribute significantly to both patient quality of life and systemic cost reduction.</w:t>
      </w:r>
    </w:p>
    <w:bookmarkStart w:id="34" w:name="Xe322f5a8e1b7a9fa04c9736e43f569b193ff527"/>
    <w:p>
      <w:pPr>
        <w:pStyle w:val="Heading3"/>
      </w:pPr>
      <w:r>
        <w:t xml:space="preserve">Specific Recommendations for Germany Munich</w:t>
      </w:r>
    </w:p>
    <w:p>
      <w:pPr>
        <w:pStyle w:val="FirstParagraph"/>
      </w:pPr>
      <w:r>
        <w:t xml:space="preserve">We propose three actionable steps for stakeholders in Munich:</w:t>
      </w:r>
    </w:p>
    <w:p>
      <w:pPr>
        <w:numPr>
          <w:ilvl w:val="0"/>
          <w:numId w:val="1003"/>
        </w:numPr>
        <w:pStyle w:val="Compact"/>
      </w:pPr>
      <w:r>
        <w:rPr>
          <w:bCs/>
          <w:b/>
        </w:rPr>
        <w:t xml:space="preserve">Institutional Integration:</w:t>
      </w:r>
      <w:r>
        <w:t xml:space="preserve">Hospitals in Munich should mandate the inclusion of a qualified Dietitian on all multidisciplinary care teams for chronic disease units (ICU, Oncology, Cardiology).</w:t>
      </w:r>
    </w:p>
    <w:p>
      <w:pPr>
        <w:numPr>
          <w:ilvl w:val="0"/>
          <w:numId w:val="1003"/>
        </w:numPr>
        <w:pStyle w:val="Compact"/>
      </w:pPr>
      <w:r>
        <w:rPr>
          <w:bCs/>
          <w:b/>
        </w:rPr>
        <w:t xml:space="preserve">Research Expansion:</w:t>
      </w:r>
      <w:r>
        <w:t xml:space="preserve">Further localized studies are needed to evaluate the long-term economic impact of MNT within the specific insurance structures of Bavaria.</w:t>
      </w:r>
    </w:p>
    <w:p>
      <w:pPr>
        <w:numPr>
          <w:ilvl w:val="0"/>
          <w:numId w:val="1003"/>
        </w:numPr>
        <w:pStyle w:val="Compact"/>
      </w:pPr>
      <w:r>
        <w:t xml:space="preserve">Cultural Competency Training:Munich-based Dietitian programs should expand curricula to include intensive modules on intercultural health communication, reflecting the city's diverse population.</w:t>
      </w:r>
    </w:p>
    <w:p>
      <w:pPr>
        <w:pStyle w:val="FirstParagraph"/>
      </w:pPr>
      <w:r>
        <w:t xml:space="preserve">In conclusion, the professionalization and recognition of the Dietitian are not just academic exercises but clinical necessities. For cities like Munich, acting as a bridge between rigorous scientific evidence and practical application within the German healthcare framework represents a vital step toward future-ready medical care.</w:t>
      </w:r>
    </w:p>
    <w:bookmarkEnd w:id="34"/>
    <w:bookmarkEnd w:id="35"/>
    <w:p>
      <w:pPr>
        <w:pStyle w:val="BodyText"/>
      </w:pPr>
      <w:r>
        <w:rPr>
          <w:bCs/>
          <w:b/>
        </w:rPr>
        <w:t xml:space="preserve">Contact Information:</w:t>
      </w:r>
      <w:r>
        <w:br/>
      </w:r>
      <w:r>
        <w:t xml:space="preserve">Department of Clinical Nutrition</w:t>
      </w:r>
      <w:r>
        <w:br/>
      </w:r>
      <w:r>
        <w:t xml:space="preserve">Munich University of Applied Health Sciences / Partner Institutions</w:t>
      </w:r>
      <w:r>
        <w:br/>
      </w:r>
      <w:r>
        <w:t xml:space="preserve">Munich, Bavaria, Germany</w:t>
      </w:r>
    </w:p>
    <w:p>
      <w:r>
        <w:pict>
          <v:rect style="width:0;height:1.5pt" o:hralign="center" o:hrstd="t" o:hr="t"/>
        </w:pict>
      </w:r>
    </w:p>
    <w:p>
      <w:pPr>
        <w:pStyle w:val="FirstParagraph"/>
      </w:pPr>
      <w:r>
        <w:rPr>
          <w:iCs/>
          <w:i/>
        </w:rPr>
        <w:t xml:space="preserve">This poster was prepared for academic dissemination. All references and data sources are available upon request.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Dietitian in Modern Healthcare</dc:title>
  <dc:creator/>
  <dc:language>en</dc:language>
  <cp:keywords/>
  <dcterms:created xsi:type="dcterms:W3CDTF">2026-07-29T12:52:59Z</dcterms:created>
  <dcterms:modified xsi:type="dcterms:W3CDTF">2026-07-29T12:52:59Z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