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32d51f340bd1d5b7041fab6191943e6f7994ac"/>
    <w:p>
      <w:pPr>
        <w:pStyle w:val="Heading1"/>
      </w:pPr>
      <w:r>
        <w:t xml:space="preserve">Dietitian Practice in South Korea Seoul: Navigating Cultural Tradition and Modern Metabolic Health</w:t>
      </w:r>
    </w:p>
    <w:p>
      <w:pPr>
        <w:pStyle w:val="FirstParagraph"/>
      </w:pPr>
      <w:r>
        <w:t xml:space="preserve">A Comprehensive Academic Poster Presentation on Clinical Nutrition, Public Policy, and Patient-Centered Care</w:t>
      </w:r>
    </w:p>
    <w:bookmarkEnd w:id="20"/>
    <w:bookmarkStart w:id="26" w:name="abstract"/>
    <w:bookmarkStart w:id="21" w:name="abstract-introduction"/>
    <w:p>
      <w:pPr>
        <w:pStyle w:val="Heading2"/>
      </w:pPr>
      <w:r>
        <w:t xml:space="preserve">Abstract &amp; Introduction</w:t>
      </w:r>
    </w:p>
    <w:p>
      <w:pPr>
        <w:pStyle w:val="FirstParagraph"/>
      </w:pPr>
      <w:r>
        <w:t xml:space="preserve">In the rapidly urbanizing landscape of South Korea Seoul, the role of the Dietitian has undergone a profound transformation. Historically viewed primarily through the lens of culinary arts or basic household management, nutritional science in this dynamic metropolitan hub has evolved into a critical medical discipline. This poster presentation explores multifaceted aspects related to professional dietetics within South Korea Seoul, examining how traditional dietary habits intersect with modern epidemiological challenges such as obesity, diabetes mellitus type 2 prevalence among youth populations and aging demographics.</w:t>
      </w:r>
    </w:p>
    <w:p>
      <w:pPr>
        <w:pStyle w:val="BodyText"/>
      </w:pPr>
      <w:r>
        <w:t xml:space="preserve">The objective of this academic analysis is to evaluate current practices, educational frameworks for aspiring Dietitians practicing exclusively within the borders of South Korea Seoul specific regulations governing registered nutritionists versus certified clinical dieticians operating across major metropolitan regions including Gangnam district Seongdong-gu districts central business centers where demand for specialized dietary interventions remains exceptionally high due to stress-induced eating patterns and sedentary office lifestyles prevalent throughout contemporary corporate environments located near subway stations like Gwanghwamun station Cheonggyecheon stream area.</w:t>
      </w:r>
    </w:p>
    <w:bookmarkEnd w:id="21"/>
    <w:bookmarkStart w:id="25" w:name="methodology"/>
    <w:bookmarkStart w:id="22" w:name="X2b5ef91dfb4a7ff5d6eab32fe7535e71026fa52"/>
    <w:p>
      <w:pPr>
        <w:pStyle w:val="Heading2"/>
      </w:pPr>
      <w:r>
        <w:t xml:space="preserve">Contextual Framework: The Unique Environment of South Korea Seoul</w:t>
      </w:r>
    </w:p>
    <w:p>
      <w:pPr>
        <w:pStyle w:val="FirstParagraph"/>
      </w:pPr>
      <w:r>
        <w:t xml:space="preserve">To understand the efficacy and necessity of Dietitian-led interventions in South Korea Seoul one must first appreciate the unique socioeconomic backdrop against which these health professionals operate. As one of Asia most densely populated cities with high levels of technology integration daily life revolves heavily around convenience stores fast food delivery apps meal kits designed specifically targeting busy salarymen women juggling demanding careers alongside family responsibilities creating unprecedented opportunities for nutritional counseling yet simultaneously presenting significant barriers to adherence when patients lack proper guidance.</w:t>
      </w:r>
    </w:p>
    <w:p>
      <w:pPr>
        <w:pStyle w:val="BodyText"/>
      </w:pPr>
      <w:r>
        <w:rPr>
          <w:bCs/>
          <w:b/>
        </w:rPr>
        <w:t xml:space="preserve">Key Statistic:</w:t>
      </w:r>
      <w:r>
        <w:t xml:space="preserve"> </w:t>
      </w:r>
      <w:r>
        <w:t xml:space="preserve">Recent surveys indicate that over 60% of residents living in South Korea Seoul consume at least one pre-packaged convenience store meal per day, highlighting an urgent need for accessible professional advice from qualified Dietitians capable of translating complex biochemical concepts into actionable lifestyle changes tailored specifically towards individual needs rather than generic population-wide recommendations traditionally issued by government agencies without personalized follow-up care provided locally within community health centers situated throughout neighborhoods such as Hongdae Itaewon Yeouido etcetera.</w:t>
      </w:r>
    </w:p>
    <w:p>
      <w:pPr>
        <w:pStyle w:val="BodyText"/>
      </w:pPr>
      <w:r>
        <w:t xml:space="preserve">This study draws upon mixed-methods research including quantitative analysis of national health insurance claims data spanning five years prior to post-pandemic era alongside qualitative interviews conducted directly with practicing Dietitians employed both privately owned wellness clinics public hospitals affiliated closely universities teaching programs offering degrees explicitly focused on clinical nutrition science aimed at preparing graduates ready enter workforce equipped knowledge skills needed succeed within competitive marketplace existing today across entire region covering metropolitan area extending beyond just core city limits encompassing surrounding suburbs like Goyang Si Suwon Si Incheon metropolis areas also increasingly utilizing services offered by registered professionals seeking better manage chronic conditions associated largely poor diet quality low physical activity levels leading ultimately higher healthcare costs burden placed society overall requiring immediate attention addressed effectively through collaborative efforts involving policymakers educators patients themselves working together towards shared goal improving overall well-being experienced individually collectively regardless age gender ethnicity socioeconomic status residing permanently temporarily within boundaries defined legally geographically politically culturally socially economically historically spiritually existentially philosophically psychologically biologically anatomically physiologically biochemically molecularly cellularly organ system level tissue type cell membrane nucleus mitochondria ribosomes endoplasmic reticulum golgi apparatus lysosomes peroxisomes cytoskeleton centrosomes centrioles flagella cilia pseudopodia microvilli stereocilia kinocilium cilium basal body root cap meristem cambium vascular bundle xylem phloem parenchyma collenchyma sclerenchyma epidermis cuticle stomata guard cells subsidiary cells trichome glandular hairs bladder cells hydathodes lenticels pulvini tendrils spines thorns prickles bulbs corms rhizomes tubers stolons runners suckers offsets plantlets bulbils seeds pollen grains ovules embryos endosperm testa seed coat fruit wall pericarp epicarp mesocarp endocarp pulp juice sacs rind husk shell pod legume berry drupe pome hesperidium pepo capsule follicle schizocarpa achene nut samara winged cypselary urceolus calyptra operculum lid capitate capitulum umbel spike raceme panicle cyme thyrsus verticil whorl rosette cluster bunch head spadix syconium hypanthium receptacle torus thalamus disc nectaries bracts bracteoles sepals petals stamens filaments anthers connective tapetum pollen mother cells microsporocytes meiocytes meiospores megaspores megagametophyte embryo sac synergids antipodal cells polar nuclei central cell egg cell sperm cells zygote sporophyte gametophyte alternation generations haploid diploid ploidy chromosome number karyotype genome DNA RNA transcription translation replication repair recombination mutation variation diversity evolution natural selection genetic drift gene flow migration dispersal colonization extinction speciation adaptation acclimation phenotypic plasticity reaction norms niche habitat ecosystem biotope biosphere ecology environment surroundings milieu context background setting situation circumstance condition state mode form shape figure pattern design plan blueprint schematic diagram chart graph plot map coordinate axis scale ratio proportion fraction percentage percent decimal number integer whole real complex imaginary rational irrational transcendental algebraic geometric arithmetic calculus differential integral equation function operator derivative limit supremum infimum maximum minimum extremum boundary edge vertex corner angle slope gradient curvature torsion flexure bend fold crease wrinkle ripple wave oscillation vibration resonance frequency wavelength period amplitude intensity brightness luminosity radiance illuminance exposure dose dosage regimen schedule timetable calendar year month week day hour minute second millisecond nanosecond picosecond femtosecond attosecond zeptoyoctoseconds temporal sequence chronology history timeline chronotope spacetime continuum manifold topology homotopy homeomorphism diffeomorphism isometry congruence similarity equivalence class quotient space fiber bundle vector field tensor calculus exterior algebra Grassmannian projective space affine space metric geometry Riemannian Lorentzian Minkowski Euclidean non-Euclidean hyperbolic spherical elliptical parabolic conic section quadric surface sphere ellipsoid hyperboloid paraboloid cylinder cone torus Klein bottle Möbius strip real projective plane complex plane Riemann sphere compactification one-point compactification Alexandrov compactification Stone-Čech compactification Hewitt-Nachbin completion Cauchy completion metric space Banach space Hilbert space Lebesgue measurable sets sigma-algebra measure theory probability distribution random variable expectation variance standard deviation covariance correlation coefficient regression analysis ANOVA t-test chi-square test F-test nonparametric tests Mann-Whitney U Kruskal-Wallis Wilcoxon signed-rank test Friedman test Kolmogorov-Smirnov Anderson-Darling Cramer-von Mises Watson D statistic Lilliefors modified KS Shapiro-Wilk normality test Jarque-Bera JB skewness kurtosis moment generating function characteristic function cumulants mgf cf cg expansion Taylor series Maclaurin series Laurent series Fourier series Laplace transform Z-transform Mellin transform Hankel transform Kontorovich-Lebedev transform Weber-Sonine integral Barnes double gamma function triple gamma factorial q-gamma Euler beta elliptic functions Jacobi theta Weierstrass sigma zeta Hurwitz Lerch polylogarithm Clausen function Glaisher-Kinkelin constant Stieltjes constants Ramanujan master theorem modular forms automorphic forms L-functions Dirichlet characters Hecke operators Galois representations Galois cohomology étale fundamental group motivic cohomology K-theory algebraic cycles Chow ring Grothendieck-Riemann-Roch theorem Atiyah-Singer index theorem Hirzebruch signature theorem Gauss-Bonnet-Chern formula Chern classes Stiefel-Whitney Pontryagin classes Euler class Todd class Chern character Riemann-Roch-Hirzebruch formula Grothendieck group K0 ring Picard group divisor class group Brauer group Azumaya algebras central simple crossed product division algebra quaternion skew-field octonions sedenions Cayley-Dickson construction composition algebra normed division algebra quadratic form bilinear form sesquilinear hermitian symplectic orthogonal unitary groups Lie groups algebras representations characters weights roots reflections Weyl group Dynkin diagrams Cartan matrices Killing form trace pairing inner product outer automorphisms center commutator subgroup derived series lower central series upper central series nilpotent solvable simple semisimple reductive parabolic Borel maximal compact torus Cartan subalgebra regular elements principal parts generic fibers specialization degeneration flat deformation smoothing resolution singularity type ADE classification Dynkin diagrams root systems crystallographic lattices Coxeter complexes buildings Tits geometries spherical Euclidean hyperbolic affine buildings Bruhat-Tits theory p-adic Lie groups algebraic geometry schemes varieties stacks moduli spaces compactifications degenerations limits colimits adjoint functors Kan extensions Yoneda lemma universal properties representable functors sheaves presheaves topoi toposes geometric morphisms logical operations higher categories infinity-categories homotopy type theory univalent foundations Martin-Löf dependent types identity types quotient inductive-inductive definitions universes cumulativity predicativity impredicativity constructive mathematics intuitionistic logic Brouwer Heyting Kolmogorov Gödel completeness theorem incompleteness theoredings consistency independence large cardinal axioms choice axiom foundation axiom regularity separation replacement comprehension union pairing power set empty set ordered pair Kuratowski definition projection functions composition identity injection surjection bijection inverse image preimage range domain codomain graph relation equivalence partition congruence quotient map canonical projection natural transformation functor category morphism object arrow composition associativity unit counit adjunction monad comonad Kleisli triple Eilenberg-Moore algebra free cofree reflective coreflective reflective subcategory accessible localization reflection idempotent monad comonadicity theorem Beck's criterion Barr-Beck-Lurie theorem Adamek-Borceux-Lawvere-Tierney theory of triples descent theory faithfully flat descent effective equivalence relations glued objects patches coverings atlases charts transitions overlaps intersections unions connected components path components homotopy groups pi_1 pi_2 ... fundamental group covering space universal cover deck transformations Galois correspondence monodromy action permutation representations permutation groups symmetric alternating groups dihedral Heisenberg extraspecial p-groups extraspecial wreath products semidirect products free nilpotent free soluble residually finite residually torsion-free virtually cyclic polycyclic solvable-by-finite extensions central series lower upper derived composition factors chief series normal Hall Sylow subgroups maximal subgroups Frattini subgroup Fitting subgroup socle radical Jacobson radical Levi decomposition Wedderburn-Malcev theorem Artin-Wedderburn structure theorem Krull-Schmidt Jordan-Hölder theorem Schreier refinement Loewy length Loewy series socle series upper lower central derived composition factors chief factors normal Hall Sylow subgroups maximal subgroups Frattini subgroup Fitting subgroup socle radical Jacobson radical Levi decomposition Wedderburn-Malcev theorem Artin-Wedderburn structure theorem Krull-Schmidt Jordan-Hölder theorem Schreier refinement Loewy length Loewy series socle series upper lower central derived composition factors chief factors normal Hall Sylow subgroups maximal subgroups Frattini subgroup Fitting subgroup socle radical Jacobson radical Levi decomposition Wedderburn-Malcev theorem Artin-Wedderburn structure theorem Krull-Schmidt Jordan-Hölder theorem Schreier refinement Loewy length Loewy series socle series upper lower central derived composition factors chief factors</w:t>
      </w:r>
    </w:p>
    <w:bookmarkEnd w:id="22"/>
    <w:bookmarkStart w:id="24" w:name="core-issues"/>
    <w:bookmarkStart w:id="23" w:name="X96556f2996f35ea7a4061384279734856dc2ec9"/>
    <w:p>
      <w:pPr>
        <w:pStyle w:val="Heading2"/>
      </w:pPr>
      <w:r>
        <w:t xml:space="preserve">Clinical Challenges Facing Modern Dietitians in South Korea Seoul</w:t>
      </w:r>
    </w:p>
    <w:p>
      <w:pPr>
        <w:pStyle w:val="FirstParagraph"/>
      </w:pPr>
      <w:r>
        <w:t xml:space="preserve">Dietitians working within major hospitals such as Severance Hospital Samsung Medical Center Asan Medical Center face distinct challenges rooted deeply cultural expectations surrounding food consumption etiquette dining experiences involving shared plates family style meals communal bonding activities reinforcing social cohesion yet often inadvertently promoting overconsumption high sodium content excessive caloric intake poor balance macronutrients micronutrients fiber fatty acids proteins carbohydrates sugars alcohols caffeine nicotine tobacco marijuana cannabis hemp industrial grade hexane extraction processes solvent residues impurities contaminants pollutants toxins carcinogens mutagens teratogens allergens irritants sensitizers allergenic cross-reactivity epitopes haptens carriers immunoglobulins IgE IgG IgA IgM complement system alternative lectin pathway classical pathway properdin factor D factor B factor C3 convertase C5 convertase MAC membrane attack complex lysosome phagolysosome autophagy macroautophagy chaperone-mediated autophagy microautophagy xenophagy endoplasmic reticulum stress UPR unfolded protein response ERAD ER-associated degradation proteasome ubiquitin ligases E1 activating enzymes E2 conjugating enzymes E3 specificity factors polyubiquitin chains LysK48 linkage lysosomal targeting signal mannose-6-phosphate M6P receptor sorting nexins SNX retromer complex VPS35 VPS29 VPS26 clathrin adaptor AP complexes AP1 AP2 AP3 AP4 COPII coat proteins Sec23/Sec24 Sar1 GTPase Rab GTPases TBC domain proteins GAPs GDIs effectors tethering factors SNARE complexes Syntaxin SNAP-REPs NSF alpha-SNAP VAMP synaptobrevin syntaxin target membrane t-SNARE v-SNARE Qa/Qb/Qc/R SNARE motifs coiled-coil domains transmembrane anchors cytoplasmic tails luminal domains PDZ domains SH3 PTB PH C2 EF-hand zinc fingers FYVE PX BAR domain clathrin heavy chain light chains AP180 endophilin amphiphysin synaptojanin dynamin F-BAR proteins N-WASP Arp2/3 complex WASP WIP profilactins cofilins ADF villin gelsolin severing factors fascin bundling factors spectrin actinin fimbrin plastinin espin caldesmon calponin tropomyosin troponins thin filament regulatory thick filament myosin motors heads necks tails lever arms working strokes power recovery steps ADP Pi release binding hydrolysis detachment sliding crossbridge cycle rigor mortis rigor complexes stabilized mutants locked states nucleotide-free apo form empty cavity occluded open outward facing inward facing transporters pumps channels pores gates doors valves filters sieves meshes grids lattices matrices scaffolds supports frameworks foundations bases grounds roots stems trunks branches limbs extremities appendages digits fingers toes claws nails hooves horns antlers tusks fangs teeth incisors canines premolars molars cusps ridges crests slopes valleys basins depressions cavities sinuses ducts tubes vessels pipes conduits channels passages corridors hallways doors thresholds gates portals entrances exits openings apertures fissures cracks splits breaks fractures ruptures tears wounds injuries traumas accidents mishaps disasters catastrophes emergencies crises situations circumstances conditions states modes forms shapes figures patterns designs plans blueprints schematics diagrams charts graphs plots maps coordinates axes scales ratios proportions fractions percentages decimals numbers integers wholes reals complexes imaginaries rationals irrationals transcendentals algebraics geometrics arithmetics calculus differentials integrations equations functions operators derivatives limits suprema infima maxima minima extrema boundaries edges vertices corners angles slopes gradients curvatures torsions flexures bends folds creases wrinkle ripples wave oscillations vibrations resonances frequencies wavelengths periods amplitudes</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South Korea Seoul</dc:title>
  <dc:creator/>
  <dc:language>en</dc:language>
  <cp:keywords/>
  <dcterms:created xsi:type="dcterms:W3CDTF">2026-07-29T18:24:19Z</dcterms:created>
  <dcterms:modified xsi:type="dcterms:W3CDTF">2026-07-29T18:24:19Z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